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达州市哲学社会科学研究项目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jc w:val="distribute"/>
        <w:textAlignment w:val="auto"/>
        <w:rPr>
          <w:rFonts w:hint="default" w:ascii="Times New Roman" w:hAnsi="Times New Roman" w:eastAsia="方正小标宋简体" w:cs="Times New Roman"/>
          <w:color w:val="FF0000"/>
          <w:sz w:val="130"/>
          <w:szCs w:val="130"/>
        </w:rPr>
      </w:pPr>
      <w:r>
        <w:rPr>
          <w:rFonts w:hint="default" w:ascii="Times New Roman" w:hAnsi="Times New Roman" w:eastAsia="方正小标宋简体" w:cs="Times New Roman"/>
          <w:color w:val="FF0000"/>
          <w:sz w:val="130"/>
          <w:szCs w:val="130"/>
        </w:rPr>
        <w:t>重要成果专报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第</w:t>
      </w:r>
      <w:r>
        <w:rPr>
          <w:rFonts w:hint="eastAsia"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期（总第</w:t>
      </w:r>
      <w:r>
        <w:rPr>
          <w:rFonts w:hint="eastAsia" w:ascii="Times New Roman" w:hAnsi="Times New Roman" w:eastAsia="方正仿宋简体" w:cs="Times New Roman"/>
          <w:color w:val="000000"/>
          <w:sz w:val="32"/>
          <w:szCs w:val="32"/>
          <w:lang w:val="en-US" w:eastAsia="zh-CN"/>
        </w:rPr>
        <w:t>58</w:t>
      </w:r>
      <w:r>
        <w:rPr>
          <w:rFonts w:hint="default" w:ascii="Times New Roman" w:hAnsi="Times New Roman" w:eastAsia="方正仿宋简体" w:cs="Times New Roman"/>
          <w:color w:val="000000"/>
          <w:sz w:val="32"/>
          <w:szCs w:val="32"/>
        </w:rPr>
        <w:t>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达州市社会科学界联合会</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pacing w:val="40"/>
          <w:sz w:val="32"/>
          <w:szCs w:val="32"/>
          <w:lang w:eastAsia="zh-CN"/>
        </w:rPr>
        <w:t>中共达州市委讲师团</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textAlignment w:val="auto"/>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62230</wp:posOffset>
                </wp:positionV>
                <wp:extent cx="5615940" cy="0"/>
                <wp:effectExtent l="0" t="12700" r="7620" b="177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9pt;height:0pt;width:442.2pt;mso-position-horizontal:center;z-index:251662336;mso-width-relative:page;mso-height-relative:page;" filled="f" stroked="t" coordsize="21600,21600" o:gfxdata="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8yoNNIAAAAEAQAADwAAAAAAAAABACAAAAAiAAAAZHJzL2Rvd25yZXYueG1sUEsB&#10;AhQAFAAAAAgAh07iQHe/EdL7AQAA8wMAAA4AAAAAAAAAAQAgAAAAIQEAAGRycy9lMm9Eb2MueG1s&#10;UEsFBgAAAAAGAAYAWQEAAI4FA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Times New Roman" w:hAnsi="Times New Roman" w:eastAsia="黑体" w:cs="Times New Roman"/>
          <w:b/>
          <w:bCs/>
          <w:color w:val="000000"/>
          <w:sz w:val="32"/>
          <w:szCs w:val="32"/>
          <w:lang w:eastAsia="zh-CN"/>
        </w:rPr>
      </w:pPr>
      <w:r>
        <w:rPr>
          <w:rFonts w:hint="eastAsia" w:ascii="Times New Roman" w:hAnsi="Times New Roman" w:eastAsia="黑体" w:cs="Times New Roman"/>
          <w:b/>
          <w:bCs/>
          <w:color w:val="000000"/>
          <w:sz w:val="32"/>
          <w:szCs w:val="32"/>
          <w:lang w:eastAsia="zh-CN"/>
        </w:rPr>
        <w:t>领导批示：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黑体" w:cs="Times New Roman"/>
          <w:b/>
          <w:bCs/>
          <w:i w:val="0"/>
          <w:iCs w:val="0"/>
          <w:caps w:val="0"/>
          <w:color w:val="auto"/>
          <w:spacing w:val="0"/>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rightChars="0"/>
        <w:textAlignment w:val="auto"/>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ind w:left="480" w:leftChars="0" w:right="0" w:righ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Fonts w:hint="default" w:ascii="Times New Roman" w:hAnsi="Times New Roman" w:eastAsia="方正黑体简体" w:cs="Times New Roman"/>
          <w:kern w:val="2"/>
          <w:sz w:val="32"/>
          <w:szCs w:val="32"/>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t>组团培育川东北省域经济副中心策略研究</w:t>
      </w:r>
    </w:p>
    <w:p>
      <w:pPr>
        <w:keepNext w:val="0"/>
        <w:keepLines w:val="0"/>
        <w:pageBreakBefore w:val="0"/>
        <w:widowControl w:val="0"/>
        <w:suppressLineNumbers w:val="0"/>
        <w:suppressAutoHyphens/>
        <w:kinsoku/>
        <w:wordWrap/>
        <w:overflowPunct/>
        <w:topLinePunct w:val="0"/>
        <w:autoSpaceDE/>
        <w:autoSpaceDN/>
        <w:bidi w:val="0"/>
        <w:adjustRightInd/>
        <w:snapToGrid/>
        <w:spacing w:beforeAutospacing="0" w:afterAutospacing="0" w:line="578" w:lineRule="exact"/>
        <w:ind w:left="0" w:leftChars="0" w:right="0" w:rightChars="0" w:firstLine="640" w:firstLineChars="200"/>
        <w:jc w:val="both"/>
        <w:textAlignment w:val="auto"/>
        <w:rPr>
          <w:rFonts w:hint="default" w:ascii="Times New Roman" w:hAnsi="Times New Roman" w:eastAsia="方正黑体简体"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autoSpaceDE/>
        <w:autoSpaceDN/>
        <w:bidi w:val="0"/>
        <w:adjustRightInd/>
        <w:snapToGrid/>
        <w:spacing w:beforeAutospacing="0" w:afterAutospacing="0" w:line="578" w:lineRule="exact"/>
        <w:ind w:left="0" w:leftChars="0" w:right="0" w:rightChars="0" w:firstLine="640" w:firstLineChars="200"/>
        <w:jc w:val="both"/>
        <w:textAlignment w:val="auto"/>
        <w:rPr>
          <w:rFonts w:hint="eastAsia" w:ascii="方正楷体简体" w:hAnsi="方正楷体简体" w:eastAsia="方正楷体简体" w:cs="方正楷体简体"/>
          <w:kern w:val="2"/>
          <w:sz w:val="32"/>
          <w:szCs w:val="32"/>
          <w:lang w:val="en-US" w:eastAsia="zh-CN" w:bidi="ar"/>
        </w:rPr>
      </w:pPr>
      <w:r>
        <w:rPr>
          <w:rFonts w:hint="default" w:ascii="Times New Roman" w:hAnsi="Times New Roman" w:eastAsia="方正黑体简体" w:cs="Times New Roman"/>
          <w:kern w:val="2"/>
          <w:sz w:val="32"/>
          <w:szCs w:val="32"/>
          <w:lang w:val="en-US" w:eastAsia="zh-CN" w:bidi="ar"/>
        </w:rPr>
        <w:t>【专报要点】</w:t>
      </w:r>
      <w:r>
        <w:rPr>
          <w:rFonts w:hint="eastAsia" w:ascii="方正楷体简体" w:hAnsi="方正楷体简体" w:eastAsia="方正楷体简体" w:cs="方正楷体简体"/>
          <w:kern w:val="2"/>
          <w:sz w:val="32"/>
          <w:szCs w:val="32"/>
          <w:lang w:val="en-US" w:eastAsia="zh-CN" w:bidi="ar"/>
        </w:rPr>
        <w:t>为贯彻落实四川省第十二次党代会精神，加快培育川东北省域经济副中心，以市委党校</w:t>
      </w:r>
      <w:r>
        <w:rPr>
          <w:rFonts w:hint="default" w:ascii="方正楷体简体" w:hAnsi="方正楷体简体" w:eastAsia="方正楷体简体" w:cs="方正楷体简体"/>
          <w:kern w:val="2"/>
          <w:sz w:val="32"/>
          <w:szCs w:val="32"/>
          <w:lang w:val="en-US" w:eastAsia="zh-CN" w:bidi="ar"/>
        </w:rPr>
        <w:t>丁登林</w:t>
      </w:r>
      <w:r>
        <w:rPr>
          <w:rFonts w:hint="eastAsia" w:ascii="方正楷体简体" w:hAnsi="方正楷体简体" w:eastAsia="方正楷体简体" w:cs="方正楷体简体"/>
          <w:kern w:val="2"/>
          <w:sz w:val="32"/>
          <w:szCs w:val="32"/>
          <w:lang w:val="en-US" w:eastAsia="zh-CN" w:bidi="ar"/>
        </w:rPr>
        <w:t>为组长的达州市社科规划“省第十二次党代会精神研究阐释”专项课题组，综合分析了达州的机遇与挑战，提出了</w:t>
      </w:r>
      <w:r>
        <w:rPr>
          <w:rFonts w:hint="default" w:ascii="方正楷体简体" w:hAnsi="方正楷体简体" w:eastAsia="方正楷体简体" w:cs="方正楷体简体"/>
          <w:kern w:val="2"/>
          <w:sz w:val="32"/>
          <w:szCs w:val="32"/>
          <w:lang w:val="en-US" w:eastAsia="zh-CN" w:bidi="ar"/>
        </w:rPr>
        <w:t>南充</w:t>
      </w:r>
      <w:r>
        <w:rPr>
          <w:rFonts w:hint="eastAsia" w:ascii="方正楷体简体" w:hAnsi="方正楷体简体" w:eastAsia="方正楷体简体" w:cs="方正楷体简体"/>
          <w:kern w:val="2"/>
          <w:sz w:val="32"/>
          <w:szCs w:val="32"/>
          <w:lang w:val="en-US" w:eastAsia="zh-CN" w:bidi="ar"/>
        </w:rPr>
        <w:t>—达州组团培育川东北省域经济副中心的思路与对策，有一定的参考价值。</w:t>
      </w:r>
    </w:p>
    <w:p>
      <w:pP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2022年在四川省第十二次党代会报告明确提出了南充</w:t>
      </w:r>
      <w:r>
        <w:rPr>
          <w:rFonts w:hint="eastAsia"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达州组团培育川东北省域经济副中心，这是融入成渝双城经济圈的重大战略部署，这是</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四川省委顺应</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全省</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经济社会发展趋势的科学决策</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这是重塑四川经济发展新格局的重大举措，这是达州自身实现高质量发展的历史机遇。</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达州如何</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与南充组团</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培育川东北省域经济副中心</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以</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充分发挥达州在川东北城市群的核心作用也就成为当前最迫切、最重要的研究课题。</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一、达州</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-南充</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组团培育川东北省域经济副中心的重要意义</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（一）组团培育川东北省域经济副中心是融入成渝双城经济圈的重大战略部署</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2020年1月3日，习近平总书记在中央财经委员会第六次会议上发表重要讲话时强调，推动成渝地区双城经济圈建设，在西部形成高质量发展的重要增长极。但是仅有成都、重庆两个核心城市显然不足以支撑“西部地区高质量发展增长极”的定位 。因此，新时代成渝地区双城经济圈建设既要强调“双城”，也要强调“双圈”。四川省第十二次党代会报告首次提出支持南充-达州组团培育川东北省域经济副中心，这是省委要求达州南充融入成渝双城经济圈的重大战略部署，共同推动达州南充经济社会高质量发展。</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（二）组团培育川东北省域经济副中心是重塑四川经济发展新格局的重大举措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四川省第十二次</w:t>
      </w:r>
      <w:r>
        <w:rPr>
          <w:rFonts w:hint="default" w:ascii="Times New Roman" w:hAnsi="Times New Roman" w:eastAsia="方正仿宋简体" w:cs="Times New Roman"/>
          <w:b w:val="0"/>
          <w:bCs w:val="0"/>
          <w:color w:val="000000" w:themeColor="text1"/>
          <w:kern w:val="0"/>
          <w:sz w:val="32"/>
          <w:szCs w:val="32"/>
          <w:shd w:val="clear" w:color="auto" w:fill="FFFFFF"/>
          <w:lang w:eastAsia="zh-CN"/>
          <w14:textFill>
            <w14:solidFill>
              <w14:schemeClr w14:val="tx1"/>
            </w14:solidFill>
          </w14:textFill>
        </w:rPr>
        <w:t>党代会报告</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首次</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提出了3个省域经济副中心：川北省域经济副中心、川南省域经济副中心、川东北省域经济副中心。此次构建起绵阳、宜宾</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泸州组团、</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达州-南充</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组团三个经济增长极</w:t>
      </w:r>
      <w:r>
        <w:rPr>
          <w:rFonts w:hint="default" w:ascii="Times New Roman" w:hAnsi="Times New Roman" w:eastAsia="方正仿宋简体" w:cs="Times New Roman"/>
          <w:b w:val="0"/>
          <w:bCs w:val="0"/>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既是对区域经济版图的重塑，也</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是</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四川省经济社会发展的重大转折，这一转变会极大增强区域发展的协调性、平衡性和可持续性</w:t>
      </w:r>
      <w:r>
        <w:rPr>
          <w:rFonts w:hint="default" w:ascii="Times New Roman" w:hAnsi="Times New Roman" w:eastAsia="方正仿宋简体" w:cs="Times New Roman"/>
          <w:b w:val="0"/>
          <w:bCs w:val="0"/>
          <w:color w:val="000000" w:themeColor="text1"/>
          <w:kern w:val="0"/>
          <w:sz w:val="32"/>
          <w:szCs w:val="32"/>
          <w:shd w:val="clear" w:color="auto" w:fill="FFFFFF"/>
          <w:lang w:eastAsia="zh-CN"/>
          <w14:textFill>
            <w14:solidFill>
              <w14:schemeClr w14:val="tx1"/>
            </w14:solidFill>
          </w14:textFill>
        </w:rPr>
        <w:t>，会加快</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四川省城市圈层结构进一步调适和完善。成都市城市群作为第一圈层，绵阳、宜宾</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泸州组团、</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达州-南充</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组团三个经济增长极作为第二圈层，其余地级城市作为第三圈层</w:t>
      </w:r>
      <w:r>
        <w:rPr>
          <w:rFonts w:hint="default" w:ascii="Times New Roman" w:hAnsi="Times New Roman" w:eastAsia="方正仿宋简体" w:cs="Times New Roman"/>
          <w:b w:val="0"/>
          <w:bCs w:val="0"/>
          <w:color w:val="000000" w:themeColor="text1"/>
          <w:kern w:val="0"/>
          <w:sz w:val="32"/>
          <w:szCs w:val="32"/>
          <w:shd w:val="clear" w:color="auto" w:fill="FFFFFF"/>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此次省域经济副中心的</w:t>
      </w:r>
      <w:r>
        <w:rPr>
          <w:rFonts w:hint="default" w:ascii="Times New Roman" w:hAnsi="Times New Roman" w:eastAsia="方正仿宋简体" w:cs="Times New Roman"/>
          <w:b w:val="0"/>
          <w:bCs w:val="0"/>
          <w:color w:val="000000" w:themeColor="text1"/>
          <w:kern w:val="0"/>
          <w:sz w:val="32"/>
          <w:szCs w:val="32"/>
          <w:shd w:val="clear" w:color="auto" w:fill="FFFFFF"/>
          <w14:textFill>
            <w14:solidFill>
              <w14:schemeClr w14:val="tx1"/>
            </w14:solidFill>
          </w14:textFill>
        </w:rPr>
        <w:t>安排</w:t>
      </w:r>
      <w:r>
        <w:rPr>
          <w:rFonts w:hint="default" w:ascii="Times New Roman" w:hAnsi="Times New Roman" w:eastAsia="方正仿宋简体" w:cs="Times New Roman"/>
          <w:b w:val="0"/>
          <w:bCs w:val="0"/>
          <w:color w:val="000000" w:themeColor="text1"/>
          <w:kern w:val="0"/>
          <w:sz w:val="32"/>
          <w:szCs w:val="32"/>
          <w:shd w:val="clear" w:color="auto" w:fill="FFFFFF"/>
          <w:lang w:val="en-US" w:eastAsia="zh-CN"/>
          <w14:textFill>
            <w14:solidFill>
              <w14:schemeClr w14:val="tx1"/>
            </w14:solidFill>
          </w14:textFill>
        </w:rPr>
        <w:t>重塑了四川经济发展新格局。</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（三）组团培育川东北省域经济副中心是达州自身实现高质量发展的历史机遇</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b w:val="0"/>
          <w:bCs w:val="0"/>
          <w:color w:val="000000" w:themeColor="text1"/>
          <w:sz w:val="32"/>
          <w:szCs w:val="32"/>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组团培育川东北省域经济副中心</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，是加快达州发展、重塑达州地位的现实选择，</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也</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是符合现代经济发展规律</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达州经济发展总体趋势的要求。</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达州应充分借助组团培育川东北省域经济副中</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心</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的战略机遇</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，充分发挥</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达州的</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自然、经济、社会等方面的相对有利</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优势</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，获得优先发展机会，不断增强经济实力，进而</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和南充一起组团建成川东北省域经济副中心，形成</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区域内</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新</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的经济增长极，</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为达州自身的高质量发展带来了更为广阔的发展空间，也是达州打造成渝地区双城经济圈北翼振兴战略支点的重要途径。</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二、组团培育川东北省域经济副中心的现实条件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（一）组团培育川东北省域经济副中心达州具有相当的城市规模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近年来达州中心城区建设成效显著，城市功能品质不断完善提升。“中心带动、三区协同、五城并进、乡村振兴”的市域发展新格局初步形成，常住人口城镇化率由41%提高到49.8%。中心城区建成“双130”城市，“五桥六路七大新区”拉开城市骨架，新增城市公（游）园29个，建成区绿地从20.9%提高到34.2%。缓堵保畅、公共服务、地下管网等城市系统日臻完善，城市管理更加精细化、规范化，城区基础设施日益完善，为达州组团培育川东北省域经济副中心奠定了空间载体支撑。</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（二）组团培育川东北省域经济副中心达州具有较强的经济实力</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达州国民经济实力明显增强，人民生活水平显著提高。2021年GDP达到2351.7亿元以上，迈上了新台阶。达州近年来不断加快构建产业支撑，实业兴市迈出新步伐，“3+3+N”现代产业集群持续壮大。天然气、锂钾综合开发等绿色低碳产业加快发展，煤电冶化建等传统产业加快转型，净增规上工业企业124家、总数突破1000家，规上工业增加值增长9.9%。服务业增加值达1105.1亿元、增长10.6%，规上服务企业达587家、全省第二。现代物流体系加快构建，铁公水空货运量全省第二，成功创建商贸服务型国家物流枢纽和国家骨干冷链物流基地城市。农业大市“金字招牌”持续擦亮，2021年粮食产量324.2万吨、连续9年全省第一，为达州组团培育川东北省域经济副中心奠定了良好的物质基础。</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（三）组团培育川东北省域经济副中心达州具有良好的地理区位</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达州区位独特，交通便捷，是四川对外开放的东大门和通江达海的东通道。达州地处川渝鄂陕四省市结合部和长江上游成渝经济带。达州是国家东、中、西梯度开发的重要承接带，是南下华南、北上中原、西到西北、东至华东的必经之地。达州已初步构建陆、水、空全方位立体交通网络。《成渝地区双城经济圈综合交通运输发展规划》定位达州“全国性综合交通枢纽”和“国家物流枢纽”。综合交通枢纽潜在腹地广阔，拓展前景良好，具有带动区域发展的基础条件，为达州组团培育川东北省域经济副中心提供了坚实的区域支撑。</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（四）组团培育川东北省域经济副中心达州具有优良的资源禀赋</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达州市的资源总量和资源结构在四川省、特别在川东北地区占有相对优势。达州是全国、四川省的农副产品生产基地，是中国和四川重要的苎麻、商品粮、生猪、茶叶生产基地。达州矿产资源丰富，达州是国家重要的能源资源战略基地，是川气东送工程的起点，已发现各类矿产资源42种。其中，天然气资源总量3.8万亿立方米，年产量100亿立方米以上，是仅次于新疆、东海的全国第三大气田。已探明钾盐资源储量近1500万立方米，远景潜力巨大。丰富的自然资源决定了达州能提供大量的商品加工原料，为达州组团培育川东北省域经济副中心奠定了资源基础。</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三、达州-南充组团培育川东北省域经济副中心的战略举措</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（一）完善组团培育川东北省域经济副中心的发展规划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一是推动落实省委决策部署。</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全面贯彻落实省委第十二次党代会决策部署</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达州南充</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共同编制</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组团培育川东北省域经济副中心的</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规划，</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共同</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谋划一批重大平台、重大项目</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共同推进</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重大改革、</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共同制定培育川东北省域经济副中心</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重大政策，提升</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达州南充在川东北区域的</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要素集聚辐射能力和整体竞争能力。</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二是加强重大规划编制对接。</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强化</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达州南充两地</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十四五”国民经济社会发展规划和交通、产业、城市、国土空间等重大专项规划编制对接，变“拔河效应”为“抱团发展”，共同建设交通廊道、生态廊道、产业链条和服务体系，打造产业协同、市场共兴、功能共享、交通互联的“水涨船高”命运共同体</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组团培育川东北省域经济副中心。</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（二）加强相关基础设施建设，增强城市承载力和带动力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leftChars="0" w:firstLine="643" w:firstLineChars="200"/>
        <w:jc w:val="both"/>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一是共同建设铁路机场港口运输体系。</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达州应加强与南充之间交通的互联互通，为将来达州南充两地的经济要素快速流动创造良好的基础条件。达州自身应围绕2025年建成“四川东出北上综合交通枢纽”奋斗目标和2035年建成“全国性综合交通枢纽”美好愿景精准发力。在铁路建设方面，全面融入“八纵八横”国家高速铁路网。推进成达万和西达渝高铁、铁路枢纽场站及园区铁路专用线建设，依托高铁等基础设施的建设共同打造成南达万沿线经济走廊，共同推进嘉陵江—渠江绿色生态经济带建设。在航空建设方面，聚焦金垭机场“新口岸”，布局航空枢纽网，</w:t>
      </w:r>
      <w:r>
        <w:rPr>
          <w:rStyle w:val="11"/>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重点建设国际邮件跨境分拨中心和航空货运中心</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。在公路建设方面，聚焦高速公路“主动脉”，构建“一环三纵六横二支”高速公路网。</w:t>
      </w:r>
      <w:r>
        <w:rPr>
          <w:rStyle w:val="11"/>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共同建设</w:t>
      </w:r>
      <w:r>
        <w:rPr>
          <w:rStyle w:val="11"/>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中国西部重要综合物流枢纽</w:t>
      </w:r>
      <w:bookmarkStart w:id="0" w:name="_Toc84862117"/>
      <w:r>
        <w:rPr>
          <w:rStyle w:val="11"/>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共同培育壮大交通物流企业</w:t>
      </w:r>
      <w:bookmarkEnd w:id="0"/>
      <w:r>
        <w:rPr>
          <w:rFonts w:hint="default" w:ascii="Times New Roman" w:hAnsi="Times New Roman" w:eastAsia="方正仿宋简体" w:cs="Times New Roman"/>
          <w:b w:val="0"/>
          <w:bCs w:val="0"/>
          <w:color w:val="000000" w:themeColor="text1"/>
          <w:kern w:val="0"/>
          <w:sz w:val="32"/>
          <w:szCs w:val="32"/>
          <w:lang w:val="en-US" w:eastAsia="zh-CN" w:bidi="ar-SA"/>
          <w14:textFill>
            <w14:solidFill>
              <w14:schemeClr w14:val="tx1"/>
            </w14:solidFill>
          </w14:textFill>
        </w:rPr>
        <w:t>，加快引进先进物流企业</w:t>
      </w:r>
      <w:r>
        <w:rPr>
          <w:rStyle w:val="11"/>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。聚焦专业化物流，瞄准快递配送、智慧物流、冷链物流、绿色物流等细分领域，培育一批本土专业化物流标杆型企业。聚焦电商物流、网络货运、供应链物流等领域，推动物流企业与产业链上下游企业资源整合</w:t>
      </w:r>
      <w:bookmarkStart w:id="1" w:name="_Toc84862118"/>
      <w:bookmarkEnd w:id="1"/>
      <w:bookmarkStart w:id="2" w:name="_Toc26240"/>
      <w:bookmarkEnd w:id="2"/>
      <w:bookmarkStart w:id="3" w:name="_Toc6836"/>
      <w:bookmarkEnd w:id="3"/>
      <w:bookmarkStart w:id="4" w:name="_Toc84862110"/>
      <w:r>
        <w:rPr>
          <w:rStyle w:val="11"/>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，共同推进交通物流企业降本增效</w:t>
      </w:r>
      <w:bookmarkEnd w:id="4"/>
      <w:r>
        <w:rPr>
          <w:rStyle w:val="11"/>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。加强金融综合服务平台、车货匹配平台、能源化工供应链服务平台、冷链物流综合服务平台等交通物流平台的建设</w:t>
      </w:r>
      <w:bookmarkStart w:id="5" w:name="_Toc32747"/>
      <w:bookmarkEnd w:id="5"/>
      <w:bookmarkStart w:id="6" w:name="_Toc26628"/>
      <w:bookmarkEnd w:id="6"/>
      <w:bookmarkStart w:id="7" w:name="_Toc7096"/>
      <w:bookmarkEnd w:id="7"/>
      <w:r>
        <w:rPr>
          <w:rStyle w:val="11"/>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，共建中国西部重要综合物流枢纽。</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（三）加快提升产业发展能级，携手构建现代产业体系</w:t>
      </w:r>
    </w:p>
    <w:p>
      <w:pPr>
        <w:keepNext w:val="0"/>
        <w:keepLines w:val="0"/>
        <w:pageBreakBefore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Style w:val="11"/>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一是做深做实特色农业，共同打造川渝地区现代农业强市。</w:t>
      </w:r>
      <w:r>
        <w:rPr>
          <w:rStyle w:val="11"/>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达州南充两地要合力提升农业产业现代化水平，推进农业产业转型升级，提升农业基础设施装备水平，培育壮大新型农业经营主体，建设农产品加工千亿产业集群。主动扛起粮食安全政治责任，坚决遏制耕地“非农化”、防止“非粮化”，有效解决土地撂荒问题，建设“川渝粮仓”。以水稻、大豆、生猪等为重点，大力建设国家优质商品猪战略保障基地，建设中国西部战略粮仓，建设国家优质高产高效粮油战略保障基地。</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二是做优做强新型工业，共同建设先进科技制造基地。</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围绕</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“全力建设成渝地区先进制造业强市”</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这一目标，强化“双轮驱动、多点支撑”，抓好提升创新能力、加快数字赋能、壮大市场主体、加大开放合作、夯实发展载体、促进绿色发展、守牢安全底线七大重点任务，打造“3+3+N”现代产业集群，引领达州制造业迈向中高端。</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共同建设配套达州南充的汽车、摩托车、机电产业联盟，建设绿色智能制造集群，同时统筹达州南充两地共同建设承接东部产业。做优做强新型工业，共同建设先进科技制造基地。</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三是做活做靓现代服务业，共同建设商贸服务发展中心。</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共同加强高端生活性服务业发展，招引集聚国际国内知名品牌，打造一批知名商业综合体，建设一批农副产品交易、中药材交易、汽车交易专业市场；大力发展会展经济、平台经济，办好两地举办的大型商品交易会；加强生产性服务业功能区建设，加快发展现代数字经济，规划建设达州高新区数字经济产业园，建成全省数字经济发展创新示范区。</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（四）深化体制机制改革创新，推动两地市场一体化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一是共同推进科技创新能力建设。</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依托达州高新区、南充高新区，汇聚创新资源，布局建设国、省重点实验室以及工程技术研究中心等创新创业平台，推动建设世界领先的卤水锂钾研究基地、石油天然气应用基础研究基地。其次设立达州南充协同创新联合基金，重点围绕优势资源开发、新一代信息技术、智能装备制造等主导产业，建设具有全国影响力的川东北科技创新走廊。</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二是共同建立政策统一标准体系。</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争取达州南充两地“最优政策”跨行政区共享，消除政策“剪刀差”。统筹协调达州、南充地投资管理、土地管理、公共信用、户籍管理、地名管理等政策，形成人流、物流、资金流和信息流畅通无阻的一体化政策体系。</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三是共同建立统一开放要素市场。</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探索建立达州南充两地产业转移、基础建设、园区合作的成本共担、利益共享机制。联合设立“达州-南充组团培育川东北省域经济副中心建设基金”。加强达州南充两地人力资源协作，探索建立户口不迁、关系不转、身份不变、双向选择、能进能出的人才柔性流动机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pPr>
      <w:r>
        <w:rPr>
          <w:rFonts w:hint="default"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（五）扩大互联互通开放合作，打造内陆开放新高地</w:t>
      </w: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一是联动推进重大产业招商。</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达州南充两地大力开展协同招商，共同制定承接东部产业转移的支持政策，推进政策互通、资源共享、产业共接。充分发挥两地天然气、锂钾、港口、文化旅游等比较优势，联手推出重大产业项目，构筑起川东北地区开放发展新高地。大力发展总部经济，全面落实支持总部企业发展的奖补政策，引进一批实力强劲、成长性好的总部企业。二</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是两地协同开发优势资源。</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达州南充</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可以协同开发优势资源，推动达州南充两地产业发展一体化。依托石油、天然气、锂钾、煤矿、</w:t>
      </w:r>
      <w:r>
        <w:rPr>
          <w:rFonts w:hint="default" w:ascii="Times New Roman" w:hAnsi="Times New Roman" w:eastAsia="方正仿宋简体" w:cs="Times New Roman"/>
          <w:b w:val="0"/>
          <w:bCs w:val="0"/>
          <w:color w:val="000000" w:themeColor="text1"/>
          <w:sz w:val="32"/>
          <w:szCs w:val="32"/>
          <w14:textFill>
            <w14:solidFill>
              <w14:schemeClr w14:val="tx1"/>
            </w14:solidFill>
          </w14:textFill>
        </w:rPr>
        <w:t>岩盐</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等优势资源，加大合作开发力度，提升加工转化能力，推动区域经济高质量发展，形成有特色、有优势的产业集群，力争到2025年达州南充经济总量实现大跨越，共同打造国家战略资源综合开发利用示范区。</w:t>
      </w: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10"/>
        <w:rPr>
          <w:rFonts w:hint="default" w:ascii="Times New Roman" w:hAnsi="Times New Roman" w:eastAsia="方正仿宋_GB2312" w:cs="Times New Roman"/>
          <w:b w:val="0"/>
          <w:bCs w:val="0"/>
          <w:color w:val="000000" w:themeColor="text1"/>
          <w:kern w:val="2"/>
          <w:sz w:val="28"/>
          <w:szCs w:val="28"/>
          <w:lang w:val="en-US" w:eastAsia="zh-CN" w:bidi="ar-SA"/>
          <w14:textFill>
            <w14:solidFill>
              <w14:schemeClr w14:val="tx1"/>
            </w14:solidFill>
          </w14:textFill>
        </w:rPr>
      </w:pPr>
    </w:p>
    <w:p>
      <w:pPr>
        <w:pStyle w:val="6"/>
        <w:spacing w:before="0" w:beforeAutospacing="0" w:after="0" w:afterAutospacing="0" w:line="40" w:lineRule="exact"/>
        <w:ind w:firstLine="640" w:firstLineChars="200"/>
        <w:rPr>
          <w:rFonts w:hint="default" w:ascii="Times New Roman" w:hAnsi="Times New Roman" w:eastAsia="仿宋_GB2312" w:cs="Times New Roman"/>
          <w:color w:val="000000"/>
          <w:sz w:val="32"/>
          <w:szCs w:val="32"/>
        </w:rPr>
      </w:pPr>
    </w:p>
    <w:p>
      <w:pPr>
        <w:pStyle w:val="6"/>
        <w:spacing w:before="0" w:beforeAutospacing="0" w:after="0" w:afterAutospacing="0" w:line="40" w:lineRule="exact"/>
        <w:ind w:firstLine="640" w:firstLineChars="200"/>
        <w:rPr>
          <w:rFonts w:hint="default" w:ascii="Times New Roman" w:hAnsi="Times New Roman" w:eastAsia="仿宋_GB2312" w:cs="Times New Roman"/>
          <w:color w:val="000000"/>
          <w:sz w:val="32"/>
          <w:szCs w:val="32"/>
        </w:rPr>
      </w:pPr>
    </w:p>
    <w:p>
      <w:pPr>
        <w:pStyle w:val="6"/>
        <w:spacing w:before="0" w:beforeAutospacing="0" w:after="0" w:afterAutospacing="0" w:line="40" w:lineRule="exact"/>
        <w:ind w:firstLine="640" w:firstLineChars="200"/>
        <w:rPr>
          <w:rFonts w:hint="default" w:ascii="Times New Roman" w:hAnsi="Times New Roman" w:eastAsia="仿宋_GB2312" w:cs="Times New Roman"/>
          <w:color w:val="000000"/>
          <w:sz w:val="32"/>
          <w:szCs w:val="32"/>
        </w:rPr>
      </w:pPr>
    </w:p>
    <w:p>
      <w:pPr>
        <w:pStyle w:val="6"/>
        <w:spacing w:before="0" w:beforeAutospacing="0" w:after="0" w:afterAutospacing="0" w:line="40" w:lineRule="exact"/>
        <w:ind w:firstLine="480" w:firstLineChars="200"/>
        <w:rPr>
          <w:rFonts w:hint="default" w:ascii="Times New Roman" w:hAnsi="Times New Roman" w:cs="Times New Roman"/>
          <w:color w:val="000000"/>
        </w:rPr>
      </w:pPr>
    </w:p>
    <w:p>
      <w:pPr>
        <w:pStyle w:val="6"/>
        <w:spacing w:before="0" w:beforeAutospacing="0" w:after="0" w:afterAutospacing="0" w:line="500" w:lineRule="exact"/>
        <w:ind w:left="769" w:leftChars="100" w:right="210" w:rightChars="100" w:hanging="559" w:hangingChars="233"/>
        <w:jc w:val="both"/>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5pt;height:0pt;width:442.2pt;z-index:251660288;mso-width-relative:page;mso-height-relative:page;" filled="f" stroked="t" coordsize="21600,21600" o:gfxdata="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hQK6dQAAAAEAQAADwAAAAAAAAABACAAAAAiAAAAZHJzL2Rvd25yZXYueG1sUEsB&#10;AhQAFAAAAAgAh07iQEye0Dz5AQAA8wMAAA4AAAAAAAAAAQAgAAAAIwEAAGRycy9lMm9Eb2MueG1s&#10;UEsFBgAAAAAGAAYAWQEAAI4FA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color w:val="000000"/>
          <w:sz w:val="28"/>
          <w:szCs w:val="28"/>
        </w:rPr>
        <w:t>报：市委书记、副书记、常委，市人大主任、副主任，市政府市长、副市长，市政协主席、副主席。</w:t>
      </w:r>
    </w:p>
    <w:p>
      <w:pPr>
        <w:pStyle w:val="6"/>
        <w:spacing w:before="0" w:beforeAutospacing="0" w:after="0" w:afterAutospacing="0" w:line="500" w:lineRule="exact"/>
        <w:ind w:left="770" w:leftChars="100" w:right="210" w:rightChars="100" w:hanging="560" w:hangingChars="200"/>
        <w:jc w:val="both"/>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送：市委办公室，市人大办公室，市政府办公室，市政协办公室，市委宣传部，市委政研室，市</w:t>
      </w:r>
      <w:bookmarkStart w:id="8" w:name="_GoBack"/>
      <w:bookmarkEnd w:id="8"/>
      <w:r>
        <w:rPr>
          <w:rFonts w:hint="default" w:ascii="Times New Roman" w:hAnsi="Times New Roman" w:eastAsia="方正仿宋简体" w:cs="Times New Roman"/>
          <w:color w:val="000000"/>
          <w:sz w:val="28"/>
          <w:szCs w:val="28"/>
        </w:rPr>
        <w:t>人大研究室，市政府研究室，市政协研究室及有关部门领导。</w:t>
      </w:r>
    </w:p>
    <w:p>
      <w:pPr>
        <w:pStyle w:val="6"/>
        <w:spacing w:before="0" w:beforeAutospacing="0" w:after="0" w:afterAutospacing="0" w:line="500" w:lineRule="exact"/>
        <w:ind w:left="770" w:leftChars="100" w:right="210" w:rightChars="100" w:hanging="560" w:hangingChars="200"/>
        <w:jc w:val="both"/>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发：县（市、区）社科联，市级社科学会（协会、研究会）。</w:t>
      </w:r>
    </w:p>
    <w:p>
      <w:pPr>
        <w:spacing w:line="500" w:lineRule="exact"/>
        <w:ind w:firstLine="210" w:firstLineChars="100"/>
        <w:rPr>
          <w:rFonts w:ascii="Times New Roman" w:hAnsi="Times New Roman" w:eastAsia="方正仿宋简体"/>
        </w:rPr>
      </w:pPr>
      <w:r>
        <w:rPr>
          <w:rFonts w:hint="default" w:ascii="Times New Roman" w:hAnsi="Times New Roman" w:eastAsia="方正仿宋简体"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55pt;height:0pt;width:442.2pt;z-index:251661312;mso-width-relative:page;mso-height-relative:page;" filled="f" stroked="t" coordsize="21600,21600" o:gfxdata="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lAbjUAAAABAEAAA8AAAAAAAAAAQAgAAAAIgAAAGRycy9kb3ducmV2LnhtbFBL&#10;AQIUABQAAAAIAIdO4kCjdxtx+gEAAPMDAAAOAAAAAAAAAAEAIAAAACMBAABkcnMvZTJvRG9jLnht&#10;bFBLBQYAAAAABgAGAFkBAACPBQ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color w:val="000000"/>
          <w:sz w:val="28"/>
          <w:szCs w:val="28"/>
        </w:rPr>
        <w:t>如有领导批示或需调阅成果原文稿，请直接与市社科联联系，我们即时送达。电话：2536629、2536139，联系人，邓良智。</w:t>
      </w:r>
    </w:p>
    <w:p>
      <w:pPr>
        <w:pStyle w:val="10"/>
        <w:rPr>
          <w:rFonts w:hint="default" w:ascii="Times New Roman" w:hAnsi="Times New Roman" w:eastAsia="黑体" w:cs="Times New Roman"/>
          <w:b/>
          <w:bCs/>
          <w:color w:val="000000" w:themeColor="text1"/>
          <w:kern w:val="2"/>
          <w:sz w:val="32"/>
          <w:szCs w:val="32"/>
          <w:lang w:val="en-US" w:eastAsia="zh-CN" w:bidi="ar-SA"/>
          <w14:textFill>
            <w14:solidFill>
              <w14:schemeClr w14:val="tx1"/>
            </w14:solidFill>
          </w14:textFill>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25A9E-2DA1-42AC-8B05-17B92AE961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28857F8C-7BAD-4E0E-BFB1-46CB65B966AF}"/>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3" w:fontKey="{83DD1B3A-D6F8-4E46-ACEE-979D80B237F8}"/>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4" w:fontKey="{A1320F63-ACD2-45F3-94BF-2CB89A7BC6F7}"/>
  </w:font>
  <w:font w:name="仿宋_GB2312">
    <w:panose1 w:val="02010609030101010101"/>
    <w:charset w:val="86"/>
    <w:family w:val="modern"/>
    <w:pitch w:val="default"/>
    <w:sig w:usb0="00000001" w:usb1="080E0000" w:usb2="00000000" w:usb3="00000000" w:csb0="00040000" w:csb1="00000000"/>
    <w:embedRegular r:id="rId5" w:fontKey="{B78572F7-31ED-460E-8DEA-63B56E4130A0}"/>
  </w:font>
  <w:font w:name="方正仿宋简体">
    <w:panose1 w:val="02010601030101010101"/>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6" w:fontKey="{04502BEE-E5E9-40E5-83BE-86DD93A9E2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N2Q4M2EzMWRjYTdhNWRmMDFiMjk4NmVlMmNkZjQifQ=="/>
  </w:docVars>
  <w:rsids>
    <w:rsidRoot w:val="00000000"/>
    <w:rsid w:val="00906786"/>
    <w:rsid w:val="05AB7ABA"/>
    <w:rsid w:val="06DF1F73"/>
    <w:rsid w:val="0B6B1C6C"/>
    <w:rsid w:val="17F3464E"/>
    <w:rsid w:val="183766CB"/>
    <w:rsid w:val="1A654C42"/>
    <w:rsid w:val="1B866CAC"/>
    <w:rsid w:val="22AC4C25"/>
    <w:rsid w:val="23A128D5"/>
    <w:rsid w:val="242229A3"/>
    <w:rsid w:val="26D56EB8"/>
    <w:rsid w:val="2FB13745"/>
    <w:rsid w:val="30E07312"/>
    <w:rsid w:val="33DA7CA8"/>
    <w:rsid w:val="344D0435"/>
    <w:rsid w:val="3A88075B"/>
    <w:rsid w:val="3CC80A7A"/>
    <w:rsid w:val="4340581F"/>
    <w:rsid w:val="45356EC9"/>
    <w:rsid w:val="4CA41A42"/>
    <w:rsid w:val="4DC6776A"/>
    <w:rsid w:val="55C752BD"/>
    <w:rsid w:val="5747756F"/>
    <w:rsid w:val="599F64EA"/>
    <w:rsid w:val="60112EEB"/>
    <w:rsid w:val="62FB5114"/>
    <w:rsid w:val="6531690D"/>
    <w:rsid w:val="71FD4747"/>
    <w:rsid w:val="73311D53"/>
    <w:rsid w:val="754C16B4"/>
    <w:rsid w:val="765D41F7"/>
    <w:rsid w:val="78707678"/>
    <w:rsid w:val="78A23952"/>
    <w:rsid w:val="7A0B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99"/>
    <w:pPr>
      <w:ind w:left="200" w:leftChars="200" w:hanging="200" w:hangingChars="200"/>
      <w:jc w:val="left"/>
    </w:pPr>
    <w:rPr>
      <w:rFonts w:ascii="Arial Unicode MS" w:hAnsi="Arial Unicode MS" w:eastAsia="Arial Unicode MS" w:cs="Arial Unicode MS"/>
      <w:color w:val="000000"/>
      <w:sz w:val="24"/>
      <w:szCs w:val="24"/>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NormalCharacter"/>
    <w:qFormat/>
    <w:uiPriority w:val="0"/>
  </w:style>
  <w:style w:type="paragraph" w:customStyle="1" w:styleId="12">
    <w:name w:val="p0"/>
    <w:basedOn w:val="1"/>
    <w:qFormat/>
    <w:uiPriority w:val="0"/>
    <w:pPr>
      <w:widowControl/>
    </w:pPr>
    <w:rPr>
      <w:rFonts w:ascii="Calibri" w:hAnsi="Calibri"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4806</Words>
  <Characters>4912</Characters>
  <Lines>0</Lines>
  <Paragraphs>0</Paragraphs>
  <TotalTime>7</TotalTime>
  <ScaleCrop>false</ScaleCrop>
  <LinksUpToDate>false</LinksUpToDate>
  <CharactersWithSpaces>4928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2022-10-14T08:45:00Z</dcterms:created>
  <dc:creator>Administrator</dc:creator>
  <cp:lastModifiedBy>李青争</cp:lastModifiedBy>
  <dcterms:modified xsi:type="dcterms:W3CDTF">2022-11-04T07:26:18Z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B603D67321F945D6B5CB33680E0E9E7C</vt:lpwstr>
  </property>
</Properties>
</file>