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达州市哲学社会科学研究项目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distribute"/>
        <w:textAlignment w:val="auto"/>
        <w:rPr>
          <w:rFonts w:hint="default" w:ascii="Times New Roman" w:hAnsi="Times New Roman" w:eastAsia="方正小标宋简体" w:cs="Times New Roman"/>
          <w:color w:val="FF0000"/>
          <w:sz w:val="130"/>
          <w:szCs w:val="130"/>
        </w:rPr>
      </w:pPr>
      <w:r>
        <w:rPr>
          <w:rFonts w:hint="default" w:ascii="Times New Roman" w:hAnsi="Times New Roman" w:eastAsia="方正小标宋简体" w:cs="Times New Roman"/>
          <w:color w:val="FF0000"/>
          <w:sz w:val="130"/>
          <w:szCs w:val="130"/>
        </w:rPr>
        <w:t>重要成果专报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期（总第</w:t>
      </w:r>
      <w:r>
        <w:rPr>
          <w:rFonts w:hint="eastAsia" w:ascii="Times New Roman" w:hAnsi="Times New Roman" w:eastAsia="方正仿宋简体" w:cs="Times New Roman"/>
          <w:color w:val="000000"/>
          <w:sz w:val="32"/>
          <w:szCs w:val="32"/>
          <w:lang w:val="en-US" w:eastAsia="zh-CN"/>
        </w:rPr>
        <w:t>58</w:t>
      </w:r>
      <w:r>
        <w:rPr>
          <w:rFonts w:hint="default" w:ascii="Times New Roman" w:hAnsi="Times New Roman" w:eastAsia="方正仿宋简体" w:cs="Times New Roman"/>
          <w:color w:val="000000"/>
          <w:sz w:val="32"/>
          <w:szCs w:val="32"/>
        </w:rPr>
        <w:t>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达州市社会科学界联合会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pacing w:val="40"/>
          <w:sz w:val="32"/>
          <w:szCs w:val="32"/>
          <w:lang w:eastAsia="zh-CN"/>
        </w:rPr>
        <w:t>中共达州市委讲师团</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leftChars="0" w:right="0" w:rightChars="0"/>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62230</wp:posOffset>
                </wp:positionV>
                <wp:extent cx="561594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9pt;height:0pt;width:442.2pt;mso-position-horizontal:center;z-index:251662336;mso-width-relative:page;mso-height-relative:page;" filled="f" stroked="t" coordsize="21600,21600" o:gfxdata="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yoNNIAAAAEAQAADwAAAAAAAAABACAAAAAiAAAAZHJzL2Rvd25yZXYueG1sUEsB&#10;AhQAFAAAAAgAh07iQHe/EdL7AQAA8wMAAA4AAAAAAAAAAQAgAAAAIQEAAGRycy9lMm9Eb2MueG1s&#10;UEsFBgAAAAAGAAYAWQEAAI4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textAlignment w:val="auto"/>
        <w:rPr>
          <w:rFonts w:hint="eastAsia" w:ascii="Times New Roman" w:hAnsi="Times New Roman" w:eastAsia="黑体" w:cs="Times New Roman"/>
          <w:b/>
          <w:bCs/>
          <w:color w:val="000000"/>
          <w:sz w:val="32"/>
          <w:szCs w:val="32"/>
          <w:lang w:eastAsia="zh-CN"/>
        </w:rPr>
      </w:pPr>
      <w:r>
        <w:rPr>
          <w:rFonts w:hint="eastAsia" w:ascii="Times New Roman" w:hAnsi="Times New Roman" w:eastAsia="黑体" w:cs="Times New Roman"/>
          <w:b/>
          <w:bCs/>
          <w:color w:val="000000"/>
          <w:sz w:val="32"/>
          <w:szCs w:val="32"/>
          <w:lang w:eastAsia="zh-CN"/>
        </w:rPr>
        <w:t>领导批示：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黑体" w:cs="Times New Roman"/>
          <w:b/>
          <w:bCs/>
          <w:i w:val="0"/>
          <w:iCs w:val="0"/>
          <w:caps w:val="0"/>
          <w:color w:val="auto"/>
          <w:spacing w:val="0"/>
          <w:kern w:val="0"/>
          <w:sz w:val="36"/>
          <w:szCs w:val="36"/>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left="0" w:leftChars="0" w:right="0" w:righ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ind w:left="0" w:leftChars="0" w:right="0" w:rightChars="0"/>
        <w:textAlignment w:val="auto"/>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left="480" w:leftChars="0" w:right="0" w:righ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jc w:val="center"/>
        <w:textAlignment w:val="auto"/>
        <w:rPr>
          <w:rFonts w:hint="default" w:ascii="Times New Roman" w:hAnsi="Times New Roman" w:eastAsia="方正黑体简体" w:cs="Times New Roman"/>
          <w:kern w:val="2"/>
          <w:sz w:val="32"/>
          <w:szCs w:val="32"/>
          <w:lang w:val="en-US" w:eastAsia="zh-CN" w:bidi="ar"/>
        </w:rPr>
      </w:pPr>
      <w:r>
        <w:rPr>
          <w:rFonts w:hint="default" w:ascii="Times New Roman" w:hAnsi="Times New Roman" w:eastAsia="方正小标宋简体" w:cs="Times New Roman"/>
          <w:b w:val="0"/>
          <w:bCs w:val="0"/>
          <w:i w:val="0"/>
          <w:iCs w:val="0"/>
          <w:caps w:val="0"/>
          <w:color w:val="auto"/>
          <w:spacing w:val="0"/>
          <w:kern w:val="0"/>
          <w:sz w:val="44"/>
          <w:szCs w:val="44"/>
          <w:lang w:val="en-US" w:eastAsia="zh-CN" w:bidi="ar"/>
        </w:rPr>
        <w:t>组团培育川东北省域经济副中心策略研究</w:t>
      </w: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rPr>
          <w:rFonts w:hint="default" w:ascii="Times New Roman" w:hAnsi="Times New Roman" w:eastAsia="方正黑体简体" w:cs="Times New Roman"/>
          <w:kern w:val="2"/>
          <w:sz w:val="32"/>
          <w:szCs w:val="32"/>
          <w:lang w:val="en-US" w:eastAsia="zh-CN" w:bidi="ar"/>
        </w:rPr>
      </w:pPr>
    </w:p>
    <w:p>
      <w:pPr>
        <w:keepNext w:val="0"/>
        <w:keepLines w:val="0"/>
        <w:pageBreakBefore w:val="0"/>
        <w:widowControl w:val="0"/>
        <w:suppressLineNumbers w:val="0"/>
        <w:suppressAutoHyphens/>
        <w:kinsoku/>
        <w:wordWrap/>
        <w:overflowPunct/>
        <w:topLinePunct w:val="0"/>
        <w:autoSpaceDE/>
        <w:autoSpaceDN/>
        <w:bidi w:val="0"/>
        <w:adjustRightInd/>
        <w:snapToGrid/>
        <w:spacing w:beforeAutospacing="0" w:afterAutospacing="0" w:line="578" w:lineRule="exact"/>
        <w:ind w:left="0" w:leftChars="0" w:right="0" w:rightChars="0" w:firstLine="640" w:firstLineChars="200"/>
        <w:jc w:val="both"/>
        <w:textAlignment w:val="auto"/>
        <w:rPr>
          <w:rFonts w:hint="eastAsia" w:ascii="方正楷体简体" w:hAnsi="方正楷体简体" w:eastAsia="方正楷体简体" w:cs="方正楷体简体"/>
          <w:kern w:val="2"/>
          <w:sz w:val="32"/>
          <w:szCs w:val="32"/>
          <w:lang w:val="en-US" w:eastAsia="zh-CN" w:bidi="ar"/>
        </w:rPr>
      </w:pPr>
      <w:r>
        <w:rPr>
          <w:rFonts w:hint="default" w:ascii="Times New Roman" w:hAnsi="Times New Roman" w:eastAsia="方正黑体简体" w:cs="Times New Roman"/>
          <w:kern w:val="2"/>
          <w:sz w:val="32"/>
          <w:szCs w:val="32"/>
          <w:lang w:val="en-US" w:eastAsia="zh-CN" w:bidi="ar"/>
        </w:rPr>
        <w:t>【专报要点】</w:t>
      </w:r>
      <w:r>
        <w:rPr>
          <w:rFonts w:hint="eastAsia" w:ascii="方正楷体简体" w:hAnsi="方正楷体简体" w:eastAsia="方正楷体简体" w:cs="方正楷体简体"/>
          <w:kern w:val="2"/>
          <w:sz w:val="32"/>
          <w:szCs w:val="32"/>
          <w:lang w:val="en-US" w:eastAsia="zh-CN" w:bidi="ar"/>
        </w:rPr>
        <w:t>为贯彻落实四川省第十二次党代会精神，加快培育川东北省域经济副中心，以市委党校</w:t>
      </w:r>
      <w:r>
        <w:rPr>
          <w:rFonts w:hint="default" w:ascii="方正楷体简体" w:hAnsi="方正楷体简体" w:eastAsia="方正楷体简体" w:cs="方正楷体简体"/>
          <w:kern w:val="2"/>
          <w:sz w:val="32"/>
          <w:szCs w:val="32"/>
          <w:lang w:val="en-US" w:eastAsia="zh-CN" w:bidi="ar"/>
        </w:rPr>
        <w:t>丁登林</w:t>
      </w:r>
      <w:r>
        <w:rPr>
          <w:rFonts w:hint="eastAsia" w:ascii="方正楷体简体" w:hAnsi="方正楷体简体" w:eastAsia="方正楷体简体" w:cs="方正楷体简体"/>
          <w:kern w:val="2"/>
          <w:sz w:val="32"/>
          <w:szCs w:val="32"/>
          <w:lang w:val="en-US" w:eastAsia="zh-CN" w:bidi="ar"/>
        </w:rPr>
        <w:t>为组长的达州市社科规划“省第十二次党代会精神研究阐释”专项课题组，综合分析了达州的机遇与挑战，提出了</w:t>
      </w:r>
      <w:r>
        <w:rPr>
          <w:rFonts w:hint="default" w:ascii="方正楷体简体" w:hAnsi="方正楷体简体" w:eastAsia="方正楷体简体" w:cs="方正楷体简体"/>
          <w:kern w:val="2"/>
          <w:sz w:val="32"/>
          <w:szCs w:val="32"/>
          <w:lang w:val="en-US" w:eastAsia="zh-CN" w:bidi="ar"/>
        </w:rPr>
        <w:t>南充</w:t>
      </w:r>
      <w:r>
        <w:rPr>
          <w:rFonts w:hint="eastAsia" w:ascii="方正楷体简体" w:hAnsi="方正楷体简体" w:eastAsia="方正楷体简体" w:cs="方正楷体简体"/>
          <w:kern w:val="2"/>
          <w:sz w:val="32"/>
          <w:szCs w:val="32"/>
          <w:lang w:val="en-US" w:eastAsia="zh-CN" w:bidi="ar"/>
        </w:rPr>
        <w:t>—达州组团培育川东北省域经济副中心的思路与对策，有一定的参考价值。</w:t>
      </w:r>
    </w:p>
    <w:p>
      <w:pP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2022年在四川省第十二次党代会报告明确提出了南充</w:t>
      </w:r>
      <w:r>
        <w:rPr>
          <w:rFonts w:hint="eastAsia"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达州组团培育川东北省域经济副中心，这是融入成渝双城经济圈的重大战略部署，这是</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四川省委顺应</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全省</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经济社会发展趋势的科学决策</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这是重塑四川经济发展新格局的重大举措，这是达州自身实现高质量发展的历史机遇。</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达州如何</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与南充组团</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培育川东北省域经济副中心</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以</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充分发挥达州在川东北城市群的核心作用也就成为当前最迫切、最重要的研究课题。</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一、达州</w:t>
      </w: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-南充</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组团培育川东北省域经济副中心的重要意义</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（一）组团培育川东北省域经济副中心是融入成渝双城经济圈的重大战略部署</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2020年1月3日，习近平总书记在中央财经委员会第六次会议上发表重要讲话时强调，推动成渝地区双城经济圈建设，在西部形成高质量发展的重要增长极。但是仅有成都、重庆两个核心城市显然不足以支撑“西部地区高质量发展增长极”的定位 。因此，新时代成渝地区双城经济圈建设既要强调“双城”，也要强调“双圈”。四川省第十二次党代会报告首次提出支持南充-达州组团培育川东北省域经济副中心，这是省委要求达州南充融入成渝双城经济圈的重大战略部署，共同推动达州南充经济社会高质量发展。</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（二）组团培育川东北省域经济副中心是重塑四川经济发展新格局的重大举措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四川省第十二次</w:t>
      </w:r>
      <w:r>
        <w:rPr>
          <w:rFonts w:hint="default" w:ascii="Times New Roman" w:hAnsi="Times New Roman" w:eastAsia="方正仿宋简体" w:cs="Times New Roman"/>
          <w:b w:val="0"/>
          <w:bCs w:val="0"/>
          <w:color w:val="000000" w:themeColor="text1"/>
          <w:kern w:val="0"/>
          <w:sz w:val="32"/>
          <w:szCs w:val="32"/>
          <w:shd w:val="clear" w:color="auto" w:fill="FFFFFF"/>
          <w:lang w:eastAsia="zh-CN"/>
          <w14:textFill>
            <w14:solidFill>
              <w14:schemeClr w14:val="tx1"/>
            </w14:solidFill>
          </w14:textFill>
        </w:rPr>
        <w:t>党代会报告</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首次</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提出了3个省域经济副中心：川北省域经济副中心、川南省域经济副中心、川东北省域经济副中心。此次构建起绵阳、宜宾</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泸州组团、</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达州-南充</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组团三个经济增长极</w:t>
      </w:r>
      <w:r>
        <w:rPr>
          <w:rFonts w:hint="default" w:ascii="Times New Roman" w:hAnsi="Times New Roman" w:eastAsia="方正仿宋简体" w:cs="Times New Roman"/>
          <w:b w:val="0"/>
          <w:bCs w:val="0"/>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既是对区域经济版图的重塑，也</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是</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四川省经济社会发展的重大转折，这一转变会极大增强区域发展的协调性、平衡性和可持续性</w:t>
      </w:r>
      <w:r>
        <w:rPr>
          <w:rFonts w:hint="default" w:ascii="Times New Roman" w:hAnsi="Times New Roman" w:eastAsia="方正仿宋简体" w:cs="Times New Roman"/>
          <w:b w:val="0"/>
          <w:bCs w:val="0"/>
          <w:color w:val="000000" w:themeColor="text1"/>
          <w:kern w:val="0"/>
          <w:sz w:val="32"/>
          <w:szCs w:val="32"/>
          <w:shd w:val="clear" w:color="auto" w:fill="FFFFFF"/>
          <w:lang w:eastAsia="zh-CN"/>
          <w14:textFill>
            <w14:solidFill>
              <w14:schemeClr w14:val="tx1"/>
            </w14:solidFill>
          </w14:textFill>
        </w:rPr>
        <w:t>，会加快</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四川省城市圈层结构进一步调适和完善。成都市城市群作为第一圈层，绵阳、宜宾</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泸州组团、</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达州-南充</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组团三个经济增长极作为第二圈层，其余地级城市作为第三圈层</w:t>
      </w:r>
      <w:r>
        <w:rPr>
          <w:rFonts w:hint="default" w:ascii="Times New Roman" w:hAnsi="Times New Roman" w:eastAsia="方正仿宋简体" w:cs="Times New Roman"/>
          <w:b w:val="0"/>
          <w:bCs w:val="0"/>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此次省域经济副中心的</w:t>
      </w:r>
      <w:r>
        <w:rPr>
          <w:rFonts w:hint="default" w:ascii="Times New Roman" w:hAnsi="Times New Roman" w:eastAsia="方正仿宋简体" w:cs="Times New Roman"/>
          <w:b w:val="0"/>
          <w:bCs w:val="0"/>
          <w:color w:val="000000" w:themeColor="text1"/>
          <w:kern w:val="0"/>
          <w:sz w:val="32"/>
          <w:szCs w:val="32"/>
          <w:shd w:val="clear" w:color="auto" w:fill="FFFFFF"/>
          <w14:textFill>
            <w14:solidFill>
              <w14:schemeClr w14:val="tx1"/>
            </w14:solidFill>
          </w14:textFill>
        </w:rPr>
        <w:t>安排</w:t>
      </w:r>
      <w:r>
        <w:rPr>
          <w:rFonts w:hint="default" w:ascii="Times New Roman" w:hAnsi="Times New Roman" w:eastAsia="方正仿宋简体" w:cs="Times New Roman"/>
          <w:b w:val="0"/>
          <w:bCs w:val="0"/>
          <w:color w:val="000000" w:themeColor="text1"/>
          <w:kern w:val="0"/>
          <w:sz w:val="32"/>
          <w:szCs w:val="32"/>
          <w:shd w:val="clear" w:color="auto" w:fill="FFFFFF"/>
          <w:lang w:val="en-US" w:eastAsia="zh-CN"/>
          <w14:textFill>
            <w14:solidFill>
              <w14:schemeClr w14:val="tx1"/>
            </w14:solidFill>
          </w14:textFill>
        </w:rPr>
        <w:t>重塑了四川经济发展新格局。</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（三）组团培育川东北省域经济副中心是达州自身实现高质量发展的历史机遇</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组团培育川东北省域经济副中心</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，是加快达州发展、重塑达州地位的现实选择，</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也</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是符合现代经济发展规律</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达州经济发展总体趋势的要求。</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达州应充分借助组团培育川东北省域经济副中</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心</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的战略机遇</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，充分发挥</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达州的</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自然、经济、社会等方面的相对有利</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优势</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，获得优先发展机会，不断增强经济实力，进而</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和南充一起组团建成川东北省域经济副中心，形成</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区域内</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新</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的经济增长极，</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为达州自身的高质量发展带来了更为广阔的发展空间，也是达州打造成渝地区双城经济圈北翼振兴战略支点的重要途径。</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二、组团培育川东北省域经济副中心的现实条件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（一）组团培育川东北省域经济副中心达州具有相当的城市规模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近年来达州中心城区建设成效显著，城市功能品质不断完善提升。“中心带动、三区协同、五城并进、乡村振兴”的市域发展新格局初步形成，常住人口城镇化率由41%提高到49.8%。中心城区建成“双130”城市，“五桥六路七大新区”拉开城市骨架，新增城市公（游）园29个，建成区绿地从20.9%提高到34.2%。缓堵保畅、公共服务、地下管网等城市系统日臻完善，城市管理更加精细化、规范化，城区基础设施日益完善，为达州组团培育川东北省域经济副中心奠定了空间载体支撑。</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（二）组团培育川东北省域经济副中心达州具有较强的经济实力</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达州国民经济实力明显增强，人民生活水平显著提高。2021年GDP达到2351.7亿元以上，迈上了新台阶。达州近年来不断加快构建产业支撑，实业兴市迈出新步伐，“3+3+N”现代产业集群持续壮大。天然气、锂钾综合开发等绿色低碳产业加快发展，煤电冶化建等传统产业加快转型，净增规上工业企业124家、总数突破1000家，规上工业增加值增长9.9%。服务业增加值达1105.1亿元、增长10.6%，规上服务企业达587家、全省第二。现代物流体系加快构建，铁公水空货运量全省第二，成功创建商贸服务型国家物流枢纽和国家骨干冷链物流基地城市。农业大市“金字招牌”持续擦亮，2021年粮食产量324.2万吨、连续9年全省第一，为达州组团培育川东北省域经济副中心奠定了良好的物质基础。</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（三）组团培育川东北省域经济副中心达州具有良好的地理区位</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达州区位独特，交通便捷，是四川对外开放的东大门和通江达海的东通道。达州地处川渝鄂陕四省市结合部和长江上游成渝经济带。达州是国家东、中、西梯度开发的重要承接带，是南下华南、北上中原、西到西北、东至华东的必经之地。达州已初步构建陆、水、空全方位立体交通网络。《成渝地区双城经济圈综合交通运输发展规划》定位达州“全国性综合交通枢纽”和“国家物流枢纽”。综合交通枢纽潜在腹地广阔，拓展前景良好，具有带动区域发展的基础条件，为达州组团培育川东北省域经济副中心提供了坚实的区域支撑。</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（四）组团培育川东北省域经济副中心达州具有优良的资源禀赋</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达州市的资源总量和资源结构在四川省、特别在川东北地区占有相对优势。达州是全国、四川省的农副产品生产基地，是中国和四川重要的苎麻、商品粮、生猪、茶叶生产基地。达州矿产资源丰富，达州是国家重要的能源资源战略基地，是川气东送工程的起点，已发现各类矿产资源42种。其中，天然气资源总量3.8万亿立方米，年产量100亿立方米以上，是仅次于新疆、东海的全国第三大气田。已探明钾盐资源储量近1500万立方米，远景潜力巨大。丰富的自然资源决定了达州能提供大量的商品加工原料，为达州组团培育川东北省域经济副中心奠定了资源基础。</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三、达州-南充组团培育川东北省域经济副中心的战略举措</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（一）完善组团培育川东北省域经济副中心的发展规划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一是推动落实省委决策部署。</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全面贯彻落实省委第十二次党代会决策部署</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达州南充</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共同编制</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组团培育川东北省域经济副中心的</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规划，</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共同</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谋划一批重大平台、重大项目</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共同推进</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重大改革、</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共同制定培育川东北省域经济副中心</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重大政策，提升</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达州南充在川东北区域的</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要素集聚辐射能力和整体竞争能力。</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二是加强重大规划编制对接。</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强化</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达州南充两地</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十四五”国民经济社会发展规划和交通、产业、城市、国土空间等重大专项规划编制对接，变“拔河效应”为“抱团发展”，共同建设交通廊道、生态廊道、产业链条和服务体系，打造产业协同、市场共兴、功能共享、交通互联的“水涨船高”命运共同体</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组团培育川东北省域经济副中心。</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（二）加强相关基础设施建设，增强城市承载力和带动力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一是共同建设铁路机场港口运输体系。</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达州应加强与南充之间交通的互联互通，为将来达州南充两地的经济要素快速流动创造良好的基础条件。达州自身应围绕2025年建成“四川东出北上综合交通枢纽”奋斗目标和2035年建成“全国性综合交通枢纽”美好愿景精准发力。在铁路建设方面，全面融入“八纵八横”国家高速铁路网。推进成达万和西达渝高铁、铁路枢纽场站及园区铁路专用线建设，依托高铁等基础设施的建设共同打造成南达万沿线经济走廊，共同推进嘉陵江—渠江绿色生态经济带建设。在航空建设方面，聚焦金垭机场“新口岸”，布局航空枢纽网，</w:t>
      </w:r>
      <w:r>
        <w:rPr>
          <w:rStyle w:val="11"/>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重点建设国际邮件跨境分拨中心和航空货运中心</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。在公路建设方面，聚焦高速公路“主动脉”，构建“一环三纵六横二支”高速公路网。</w:t>
      </w:r>
      <w:r>
        <w:rPr>
          <w:rStyle w:val="11"/>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二是</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共同建设</w:t>
      </w:r>
      <w:r>
        <w:rPr>
          <w:rStyle w:val="11"/>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中国西部重要综合物流枢纽</w:t>
      </w:r>
      <w:bookmarkStart w:id="0" w:name="_Toc84862117"/>
      <w:r>
        <w:rPr>
          <w:rStyle w:val="11"/>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共同培育壮大交通物流企业</w:t>
      </w:r>
      <w:bookmarkEnd w:id="0"/>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，加快引进先进物流企业</w:t>
      </w:r>
      <w:r>
        <w:rPr>
          <w:rStyle w:val="11"/>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。聚焦专业化物流，瞄准快递配送、智慧物流、冷链物流、绿色物流等细分领域，培育一批本土专业化物流标杆型企业。聚焦电商物流、网络货运、供应链物流等领域，推动物流企业与产业链上下游企业资源整合</w:t>
      </w:r>
      <w:bookmarkStart w:id="1" w:name="_Toc84862118"/>
      <w:bookmarkEnd w:id="1"/>
      <w:bookmarkStart w:id="2" w:name="_Toc26240"/>
      <w:bookmarkEnd w:id="2"/>
      <w:bookmarkStart w:id="3" w:name="_Toc6836"/>
      <w:bookmarkEnd w:id="3"/>
      <w:bookmarkStart w:id="4" w:name="_Toc84862110"/>
      <w:r>
        <w:rPr>
          <w:rStyle w:val="11"/>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，共同推进交通物流企业降本增效</w:t>
      </w:r>
      <w:bookmarkEnd w:id="4"/>
      <w:r>
        <w:rPr>
          <w:rStyle w:val="11"/>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。加强金融综合服务平台、车货匹配平台、能源化工供应链服务平台、冷链物流综合服务平台等交通物流平台的建设</w:t>
      </w:r>
      <w:bookmarkStart w:id="5" w:name="_Toc32747"/>
      <w:bookmarkEnd w:id="5"/>
      <w:bookmarkStart w:id="6" w:name="_Toc26628"/>
      <w:bookmarkEnd w:id="6"/>
      <w:bookmarkStart w:id="7" w:name="_Toc7096"/>
      <w:bookmarkEnd w:id="7"/>
      <w:r>
        <w:rPr>
          <w:rStyle w:val="11"/>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，共建中国西部重要综合物流枢纽。</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（三）加快提升产业发展能级，携手构建现代产业体系</w:t>
      </w:r>
    </w:p>
    <w:p>
      <w:pPr>
        <w:keepNext w:val="0"/>
        <w:keepLines w:val="0"/>
        <w:pageBreakBefore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Style w:val="11"/>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一是做深做实特色农业，共同打造川渝地区现代农业强市。</w:t>
      </w:r>
      <w:r>
        <w:rPr>
          <w:rStyle w:val="11"/>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达州南充两地要合力提升农业产业现代化水平，推进农业产业转型升级，提升农业基础设施装备水平，培育壮大新型农业经营主体，建设农产品加工千亿产业集群。主动扛起粮食安全政治责任，坚决遏制耕地“非农化”、防止“非粮化”，有效解决土地撂荒问题，建设“川渝粮仓”。以水稻、大豆、生猪等为重点，大力建设国家优质商品猪战略保障基地，建设中国西部战略粮仓，建设国家优质高产高效粮油战略保障基地。</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二是做优做强新型工业，共同建设先进科技制造基地。</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围绕</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“全力建设成渝地区先进制造业强市”</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这一目标，强化“双轮驱动、多点支撑”，抓好提升创新能力、加快数字赋能、壮大市场主体、加大开放合作、夯实发展载体、促进绿色发展、守牢安全底线七大重点任务，打造“3+3+N”现代产业集群，引领达州制造业迈向中高端。</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共同建设配套达州南充的汽车、摩托车、机电产业联盟，建设绿色智能制造集群，同时统筹达州南充两地共同建设承接东部产业。做优做强新型工业，共同建设先进科技制造基地。</w:t>
      </w: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三是做活做靓现代服务业，共同建设商贸服务发展中心。</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共同加强高端生活性服务业发展，招引集聚国际国内知名品牌，打造一批知名商业综合体，建设一批农副产品交易、中药材交易、汽车交易专业市场；大力发展会展经济、平台经济，办好两地举办的大型商品交易会；加强生产性服务业功能区建设，加快发展现代数字经济，规划建设达州高新区数字经济产业园，建成全省数字经济发展创新示范区。</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（四）深化体制机制改革创新，推动两地市场一体化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一是共同推进科技创新能力建设。</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依托达州高新区、南充高新区，汇聚创新资源，布局建设国、省重点实验室以及工程技术研究中心等创新创业平台，推动建设世界领先的卤水锂钾研究基地、石油天然气应用基础研究基地。其次设立达州南充协同创新联合基金，重点围绕优势资源开发、新一代信息技术、智能装备制造等主导产业，建设具有全国影响力的川东北科技创新走廊。</w:t>
      </w: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二是共同建立政策统一标准体系。</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争取达州南充两地“最优政策”跨行政区共享，消除政策“剪刀差”。统筹协调达州、南充地投资管理、土地管理、公共信用、户籍管理、地名管理等政策，形成人流、物流、资金流和信息流畅通无阻的一体化政策体系。</w:t>
      </w: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三是共同建立统一开放要素市场。</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探索建立达州南充两地产业转移、基础建设、园区合作的成本共担、利益共享机制。联合设立“达州-南充组团培育川东北省域经济副中心建设基金”。加强达州南充两地人力资源协作，探索建立户口不迁、关系不转、身份不变、双向选择、能进能出的人才柔性流动机制。</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default"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（五）扩大互联互通开放合作，打造内陆开放新高地</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一是联动推进重大产业招商。</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达州南充两地大力开展协同招商，共同制定承接东部产业转移的支持政策，推进政策互通、资源共享、产业共接。充分发挥两地天然气、锂钾、港口、文化旅游等比较优势，联手推出重大产业项目，构筑起川东北地区开放发展新高地。大力发展总部经济，全面落实支持总部企业发展的奖补政策，引进一批实力强劲、成长性好的总部企业。二</w:t>
      </w:r>
      <w:r>
        <w:rPr>
          <w:rFonts w:hint="default" w:ascii="Times New Roman" w:hAnsi="Times New Roman" w:eastAsia="方正仿宋简体" w:cs="Times New Roman"/>
          <w:b/>
          <w:bCs/>
          <w:color w:val="000000" w:themeColor="text1"/>
          <w:kern w:val="2"/>
          <w:sz w:val="32"/>
          <w:szCs w:val="32"/>
          <w:lang w:val="en-US" w:eastAsia="zh-CN" w:bidi="ar-SA"/>
          <w14:textFill>
            <w14:solidFill>
              <w14:schemeClr w14:val="tx1"/>
            </w14:solidFill>
          </w14:textFill>
        </w:rPr>
        <w:t>是两地协同开发优势资源。</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达州南充</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可以协同开发优势资源，推动达州南充两地产业发展一体化。依托石油、天然气、锂钾、煤矿、</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岩盐</w:t>
      </w:r>
      <w:r>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t>等优势资源，加大合作开发力度，提升加工转化能力，推动区域经济高质量发展，形成有特色、有优势的产业集群，力争到2025年达州南充经济总量实现大跨越，共同打造国家战略资源综合开发利用示范区。</w:t>
      </w: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10"/>
        <w:rPr>
          <w:rFonts w:hint="default" w:ascii="Times New Roman" w:hAnsi="Times New Roman" w:eastAsia="方正仿宋_GB2312" w:cs="Times New Roman"/>
          <w:b w:val="0"/>
          <w:bCs w:val="0"/>
          <w:color w:val="000000" w:themeColor="text1"/>
          <w:kern w:val="2"/>
          <w:sz w:val="28"/>
          <w:szCs w:val="28"/>
          <w:lang w:val="en-US" w:eastAsia="zh-CN" w:bidi="ar-SA"/>
          <w14:textFill>
            <w14:solidFill>
              <w14:schemeClr w14:val="tx1"/>
            </w14:solidFill>
          </w14:textFill>
        </w:rPr>
      </w:pPr>
    </w:p>
    <w:p>
      <w:pPr>
        <w:pStyle w:val="6"/>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6"/>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6"/>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6"/>
        <w:spacing w:before="0" w:beforeAutospacing="0" w:after="0" w:afterAutospacing="0" w:line="40" w:lineRule="exact"/>
        <w:ind w:firstLine="480" w:firstLineChars="200"/>
        <w:rPr>
          <w:rFonts w:hint="default" w:ascii="Times New Roman" w:hAnsi="Times New Roman" w:cs="Times New Roman"/>
          <w:color w:val="000000"/>
        </w:rPr>
      </w:pPr>
    </w:p>
    <w:p>
      <w:pPr>
        <w:pStyle w:val="6"/>
        <w:spacing w:before="0" w:beforeAutospacing="0" w:after="0" w:afterAutospacing="0" w:line="500" w:lineRule="exact"/>
        <w:ind w:left="769" w:leftChars="100" w:right="210" w:rightChars="100" w:hanging="559" w:hangingChars="233"/>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2.2pt;z-index:251660288;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hQK6dQAAAAEAQAADwAAAAAAAAABACAAAAAiAAAAZHJzL2Rvd25yZXYueG1sUEsB&#10;AhQAFAAAAAgAh07iQEye0Dz5AQAA8wMAAA4AAAAAAAAAAQAgAAAAIw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报：市委书记、副书记、常委，市人大主任、副主任，市政府市长、副市长，市政协主席、副主席。</w:t>
      </w:r>
    </w:p>
    <w:p>
      <w:pPr>
        <w:pStyle w:val="6"/>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送：市委办公室，市人大办公室，市政府办公室，市政协办公室，市委宣传部，市委政研室，市</w:t>
      </w:r>
      <w:bookmarkStart w:id="8" w:name="_GoBack"/>
      <w:bookmarkEnd w:id="8"/>
      <w:r>
        <w:rPr>
          <w:rFonts w:hint="default" w:ascii="Times New Roman" w:hAnsi="Times New Roman" w:eastAsia="方正仿宋简体" w:cs="Times New Roman"/>
          <w:color w:val="000000"/>
          <w:sz w:val="28"/>
          <w:szCs w:val="28"/>
        </w:rPr>
        <w:t>人大研究室，市政府研究室，市政协研究室及有关部门领导。</w:t>
      </w:r>
    </w:p>
    <w:p>
      <w:pPr>
        <w:pStyle w:val="6"/>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发：县（市、区）社科联，市级社科学会（协会、研究会）。</w:t>
      </w:r>
    </w:p>
    <w:p>
      <w:pPr>
        <w:spacing w:line="500" w:lineRule="exact"/>
        <w:ind w:firstLine="210" w:firstLineChars="100"/>
        <w:rPr>
          <w:rFonts w:ascii="Times New Roman" w:hAnsi="Times New Roman" w:eastAsia="方正仿宋简体"/>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pt;width:442.2pt;z-index:251661312;mso-width-relative:page;mso-height-relative:page;" filled="f" stroked="t" coordsize="21600,21600" o:gfxdata="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lAbjUAAAABAEAAA8AAAAAAAAAAQAgAAAAIgAAAGRycy9kb3ducmV2LnhtbFBL&#10;AQIUABQAAAAIAIdO4kCjdxtx+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如有领导批示或需调阅成果原文稿，请直接与市社科联联系，我们即时送达。电话：2536629、2536139，联系人，邓良智。</w:t>
      </w:r>
    </w:p>
    <w:p>
      <w:pPr>
        <w:pStyle w:val="10"/>
        <w:rPr>
          <w:rFonts w:hint="default" w:ascii="Times New Roman" w:hAnsi="Times New Roman" w:eastAsia="黑体" w:cs="Times New Roman"/>
          <w:b/>
          <w:bCs/>
          <w:color w:val="000000" w:themeColor="text1"/>
          <w:kern w:val="2"/>
          <w:sz w:val="32"/>
          <w:szCs w:val="32"/>
          <w:lang w:val="en-US" w:eastAsia="zh-CN" w:bidi="ar-SA"/>
          <w14:textFill>
            <w14:solidFill>
              <w14:schemeClr w14:val="tx1"/>
            </w14:solidFill>
          </w14:textFill>
        </w:rPr>
      </w:pPr>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E25A9E-2DA1-42AC-8B05-17B92AE961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28857F8C-7BAD-4E0E-BFB1-46CB65B966AF}"/>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embedRegular r:id="rId3" w:fontKey="{83DD1B3A-D6F8-4E46-ACEE-979D80B237F8}"/>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embedRegular r:id="rId4" w:fontKey="{A1320F63-ACD2-45F3-94BF-2CB89A7BC6F7}"/>
  </w:font>
  <w:font w:name="仿宋_GB2312">
    <w:panose1 w:val="02010609030101010101"/>
    <w:charset w:val="86"/>
    <w:family w:val="modern"/>
    <w:pitch w:val="default"/>
    <w:sig w:usb0="00000001" w:usb1="080E0000" w:usb2="00000000" w:usb3="00000000" w:csb0="00040000" w:csb1="00000000"/>
    <w:embedRegular r:id="rId5" w:fontKey="{B78572F7-31ED-460E-8DEA-63B56E4130A0}"/>
  </w:font>
  <w:font w:name="方正仿宋简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6" w:fontKey="{04502BEE-E5E9-40E5-83BE-86DD93A9E2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2Q4M2EzMWRjYTdhNWRmMDFiMjk4NmVlMmNkZjQifQ=="/>
  </w:docVars>
  <w:rsids>
    <w:rsidRoot w:val="00000000"/>
    <w:rsid w:val="00906786"/>
    <w:rsid w:val="05AB7ABA"/>
    <w:rsid w:val="06DF1F73"/>
    <w:rsid w:val="0B6B1C6C"/>
    <w:rsid w:val="17F3464E"/>
    <w:rsid w:val="183766CB"/>
    <w:rsid w:val="1A654C42"/>
    <w:rsid w:val="1B866CAC"/>
    <w:rsid w:val="22AC4C25"/>
    <w:rsid w:val="23A128D5"/>
    <w:rsid w:val="242229A3"/>
    <w:rsid w:val="26D56EB8"/>
    <w:rsid w:val="2FB13745"/>
    <w:rsid w:val="30E07312"/>
    <w:rsid w:val="33DA7CA8"/>
    <w:rsid w:val="344D0435"/>
    <w:rsid w:val="3A88075B"/>
    <w:rsid w:val="3CC80A7A"/>
    <w:rsid w:val="4340581F"/>
    <w:rsid w:val="45356EC9"/>
    <w:rsid w:val="4CA41A42"/>
    <w:rsid w:val="4DC6776A"/>
    <w:rsid w:val="55C752BD"/>
    <w:rsid w:val="5747756F"/>
    <w:rsid w:val="599F64EA"/>
    <w:rsid w:val="60112EEB"/>
    <w:rsid w:val="62FB5114"/>
    <w:rsid w:val="6531690D"/>
    <w:rsid w:val="71FD4747"/>
    <w:rsid w:val="73311D53"/>
    <w:rsid w:val="754C16B4"/>
    <w:rsid w:val="765D41F7"/>
    <w:rsid w:val="78707678"/>
    <w:rsid w:val="78A23952"/>
    <w:rsid w:val="7A0B5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jc w:val="left"/>
    </w:pPr>
    <w:rPr>
      <w:rFonts w:ascii="Arial Unicode MS" w:hAnsi="Arial Unicode MS" w:eastAsia="Arial Unicode MS" w:cs="Arial Unicode MS"/>
      <w:color w:val="000000"/>
      <w:sz w:val="24"/>
      <w:szCs w:val="24"/>
      <w:lang w:val="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NormalCharacter"/>
    <w:qFormat/>
    <w:uiPriority w:val="0"/>
  </w:style>
  <w:style w:type="paragraph" w:customStyle="1" w:styleId="12">
    <w:name w:val="p0"/>
    <w:basedOn w:val="1"/>
    <w:qFormat/>
    <w:uiPriority w:val="0"/>
    <w:pPr>
      <w:widowControl/>
    </w:pPr>
    <w:rPr>
      <w:rFonts w:ascii="Calibri" w:hAnsi="Calibri" w:cs="宋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4806</Words>
  <Characters>4912</Characters>
  <Lines>0</Lines>
  <Paragraphs>0</Paragraphs>
  <TotalTime>7</TotalTime>
  <ScaleCrop>false</ScaleCrop>
  <LinksUpToDate>false</LinksUpToDate>
  <CharactersWithSpaces>4928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2022-10-14T08:45:00Z</dcterms:created>
  <dc:creator>Administrator</dc:creator>
  <cp:lastModifiedBy>李青争</cp:lastModifiedBy>
  <dcterms:modified xsi:type="dcterms:W3CDTF">2022-11-04T07:26:18Z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B603D67321F945D6B5CB33680E0E9E7C</vt:lpwstr>
  </property>
</Properties>
</file>