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达州市哲学社会科学研究项目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240" w:lineRule="auto"/>
        <w:jc w:val="distribute"/>
        <w:textAlignment w:val="auto"/>
        <w:rPr>
          <w:rFonts w:hint="default" w:ascii="Times New Roman" w:hAnsi="Times New Roman" w:eastAsia="方正小标宋简体" w:cs="Times New Roman"/>
          <w:color w:val="FF0000"/>
          <w:sz w:val="130"/>
          <w:szCs w:val="130"/>
        </w:rPr>
      </w:pPr>
      <w:r>
        <w:rPr>
          <w:rFonts w:hint="default" w:ascii="Times New Roman" w:hAnsi="Times New Roman" w:eastAsia="方正小标宋简体" w:cs="Times New Roman"/>
          <w:color w:val="FF0000"/>
          <w:sz w:val="130"/>
          <w:szCs w:val="130"/>
        </w:rPr>
        <w:t>重要成果专报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第</w:t>
      </w:r>
      <w:r>
        <w:rPr>
          <w:rFonts w:hint="eastAsia" w:ascii="Times New Roman" w:hAnsi="Times New Roman" w:eastAsia="方正仿宋简体" w:cs="Times New Roman"/>
          <w:color w:val="000000"/>
          <w:sz w:val="32"/>
          <w:szCs w:val="32"/>
          <w:lang w:val="en-US" w:eastAsia="zh-CN"/>
        </w:rPr>
        <w:t>3</w:t>
      </w:r>
      <w:r>
        <w:rPr>
          <w:rFonts w:hint="default" w:ascii="Times New Roman" w:hAnsi="Times New Roman" w:eastAsia="方正仿宋简体" w:cs="Times New Roman"/>
          <w:color w:val="000000"/>
          <w:sz w:val="32"/>
          <w:szCs w:val="32"/>
        </w:rPr>
        <w:t>期（总第</w:t>
      </w:r>
      <w:r>
        <w:rPr>
          <w:rFonts w:hint="eastAsia" w:ascii="Times New Roman" w:hAnsi="Times New Roman" w:eastAsia="方正仿宋简体" w:cs="Times New Roman"/>
          <w:color w:val="000000"/>
          <w:sz w:val="32"/>
          <w:szCs w:val="32"/>
          <w:lang w:val="en-US" w:eastAsia="zh-CN"/>
        </w:rPr>
        <w:t>57</w:t>
      </w:r>
      <w:r>
        <w:rPr>
          <w:rFonts w:hint="default" w:ascii="Times New Roman" w:hAnsi="Times New Roman" w:eastAsia="方正仿宋简体" w:cs="Times New Roman"/>
          <w:color w:val="000000"/>
          <w:sz w:val="32"/>
          <w:szCs w:val="32"/>
        </w:rPr>
        <w:t>期）</w:t>
      </w:r>
    </w:p>
    <w:p>
      <w:pPr>
        <w:keepNext w:val="0"/>
        <w:keepLines w:val="0"/>
        <w:pageBreakBefore w:val="0"/>
        <w:widowControl w:val="0"/>
        <w:kinsoku/>
        <w:wordWrap/>
        <w:overflowPunct/>
        <w:topLinePunct w:val="0"/>
        <w:autoSpaceDE/>
        <w:autoSpaceDN/>
        <w:bidi w:val="0"/>
        <w:adjustRightInd/>
        <w:snapToGrid/>
        <w:spacing w:beforeLines="30" w:line="240" w:lineRule="auto"/>
        <w:ind w:left="210" w:leftChars="100" w:right="210" w:rightChars="100"/>
        <w:textAlignment w:val="auto"/>
        <w:rPr>
          <w:rFonts w:hint="default" w:ascii="Times New Roman" w:hAnsi="Times New Roman" w:eastAsia="方正仿宋简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30" w:line="240" w:lineRule="auto"/>
        <w:ind w:left="210" w:leftChars="100" w:right="210" w:rightChars="100"/>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达州市社会科学界</w:t>
      </w:r>
      <w:bookmarkStart w:id="0" w:name="_GoBack"/>
      <w:bookmarkEnd w:id="0"/>
      <w:r>
        <w:rPr>
          <w:rFonts w:hint="default" w:ascii="Times New Roman" w:hAnsi="Times New Roman" w:eastAsia="方正仿宋简体" w:cs="Times New Roman"/>
          <w:color w:val="000000"/>
          <w:sz w:val="32"/>
          <w:szCs w:val="32"/>
        </w:rPr>
        <w:t>联合会</w:t>
      </w:r>
    </w:p>
    <w:p>
      <w:pPr>
        <w:keepNext w:val="0"/>
        <w:keepLines w:val="0"/>
        <w:pageBreakBefore w:val="0"/>
        <w:widowControl w:val="0"/>
        <w:kinsoku/>
        <w:wordWrap/>
        <w:overflowPunct/>
        <w:topLinePunct w:val="0"/>
        <w:autoSpaceDE/>
        <w:autoSpaceDN/>
        <w:bidi w:val="0"/>
        <w:adjustRightInd/>
        <w:snapToGrid/>
        <w:spacing w:beforeLines="30" w:line="400" w:lineRule="exact"/>
        <w:ind w:left="210" w:leftChars="100" w:right="210" w:rightChars="100"/>
        <w:textAlignment w:val="auto"/>
        <w:rPr>
          <w:rFonts w:hint="default"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pacing w:val="40"/>
          <w:sz w:val="32"/>
          <w:szCs w:val="32"/>
          <w:lang w:eastAsia="zh-CN"/>
        </w:rPr>
        <w:t>中共达州市委讲师团</w:t>
      </w:r>
      <w:r>
        <w:rPr>
          <w:rFonts w:hint="eastAsia" w:ascii="Times New Roman" w:hAnsi="Times New Roman" w:eastAsia="方正仿宋简体" w:cs="Times New Roman"/>
          <w:color w:val="000000"/>
          <w:sz w:val="32"/>
          <w:szCs w:val="32"/>
          <w:lang w:val="en-US" w:eastAsia="zh-CN"/>
        </w:rPr>
        <w:t xml:space="preserve">              </w:t>
      </w:r>
      <w:r>
        <w:rPr>
          <w:rFonts w:hint="default" w:ascii="Times New Roman" w:hAnsi="Times New Roman" w:eastAsia="方正仿宋简体" w:cs="Times New Roman"/>
          <w:color w:val="000000"/>
          <w:sz w:val="32"/>
          <w:szCs w:val="32"/>
        </w:rPr>
        <w:t>202</w:t>
      </w:r>
      <w:r>
        <w:rPr>
          <w:rFonts w:hint="default" w:ascii="Times New Roman" w:hAnsi="Times New Roman" w:eastAsia="方正仿宋简体" w:cs="Times New Roman"/>
          <w:color w:val="000000"/>
          <w:sz w:val="32"/>
          <w:szCs w:val="32"/>
          <w:lang w:val="en-US" w:eastAsia="zh-CN"/>
        </w:rPr>
        <w:t>2</w:t>
      </w:r>
      <w:r>
        <w:rPr>
          <w:rFonts w:hint="default" w:ascii="Times New Roman" w:hAnsi="Times New Roman" w:eastAsia="方正仿宋简体" w:cs="Times New Roman"/>
          <w:color w:val="000000"/>
          <w:sz w:val="32"/>
          <w:szCs w:val="32"/>
        </w:rPr>
        <w:t>年</w:t>
      </w:r>
      <w:r>
        <w:rPr>
          <w:rFonts w:hint="eastAsia" w:ascii="Times New Roman" w:hAnsi="Times New Roman" w:eastAsia="方正仿宋简体" w:cs="Times New Roman"/>
          <w:color w:val="000000"/>
          <w:sz w:val="32"/>
          <w:szCs w:val="32"/>
          <w:lang w:val="en-US" w:eastAsia="zh-CN"/>
        </w:rPr>
        <w:t>10</w:t>
      </w:r>
      <w:r>
        <w:rPr>
          <w:rFonts w:hint="default" w:ascii="Times New Roman" w:hAnsi="Times New Roman" w:eastAsia="方正仿宋简体" w:cs="Times New Roman"/>
          <w:color w:val="000000"/>
          <w:sz w:val="32"/>
          <w:szCs w:val="32"/>
        </w:rPr>
        <w:t>月</w:t>
      </w:r>
      <w:r>
        <w:rPr>
          <w:rFonts w:hint="eastAsia" w:ascii="Times New Roman" w:hAnsi="Times New Roman" w:eastAsia="方正仿宋简体" w:cs="Times New Roman"/>
          <w:color w:val="000000"/>
          <w:sz w:val="32"/>
          <w:szCs w:val="32"/>
          <w:lang w:val="en-US" w:eastAsia="zh-CN"/>
        </w:rPr>
        <w:t>14</w:t>
      </w:r>
      <w:r>
        <w:rPr>
          <w:rFonts w:hint="default" w:ascii="Times New Roman" w:hAnsi="Times New Roman" w:eastAsia="方正仿宋简体" w:cs="Times New Roman"/>
          <w:color w:val="000000"/>
          <w:sz w:val="32"/>
          <w:szCs w:val="32"/>
        </w:rPr>
        <w:t>日</w:t>
      </w:r>
    </w:p>
    <w:p>
      <w:pPr>
        <w:spacing w:line="550" w:lineRule="exact"/>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62230</wp:posOffset>
                </wp:positionV>
                <wp:extent cx="5615940" cy="0"/>
                <wp:effectExtent l="0" t="12700" r="7620" b="1778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4.9pt;height:0pt;width:442.2pt;mso-position-horizontal:center;z-index:251659264;mso-width-relative:page;mso-height-relative:page;" filled="f" stroked="t" coordsize="21600,21600" o:gfxdata="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58yoNNIAAAAEAQAADwAAAAAAAAABACAAAAAiAAAAZHJzL2Rvd25yZXYueG1sUEsB&#10;AhQAFAAAAAgAh07iQKDITBn7AQAA8wMAAA4AAAAAAAAAAQAgAAAAIQEAAGRycy9lMm9Eb2MueG1s&#10;UEsFBgAAAAAGAAYAWQEAAI4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r>
        <w:rPr>
          <w:rFonts w:hint="eastAsia" w:ascii="Times New Roman" w:hAnsi="Times New Roman" w:eastAsia="黑体" w:cs="Times New Roman"/>
          <w:b/>
          <w:bCs/>
          <w:color w:val="000000"/>
          <w:sz w:val="32"/>
          <w:szCs w:val="32"/>
          <w:lang w:eastAsia="zh-CN"/>
        </w:rPr>
        <w:t>领导批示：</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b/>
          <w:bCs/>
          <w:color w:val="000000"/>
          <w:sz w:val="32"/>
          <w:szCs w:val="32"/>
          <w:lang w:eastAsia="zh-CN"/>
        </w:rPr>
      </w:pPr>
    </w:p>
    <w:p>
      <w:pPr>
        <w:rPr>
          <w:rFonts w:hint="eastAsia"/>
          <w:b/>
          <w:bCs/>
          <w:sz w:val="28"/>
          <w:szCs w:val="2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jc w:val="center"/>
        <w:textAlignment w:val="auto"/>
        <w:rPr>
          <w:rFonts w:hint="eastAsia" w:ascii="Times New Roman" w:hAnsi="Times New Roman" w:eastAsia="方正小标宋简体" w:cs="Times New Roman"/>
          <w:b w:val="0"/>
          <w:bCs w:val="0"/>
          <w:i w:val="0"/>
          <w:iCs w:val="0"/>
          <w:caps w:val="0"/>
          <w:color w:val="auto"/>
          <w:spacing w:val="0"/>
          <w:kern w:val="0"/>
          <w:sz w:val="44"/>
          <w:szCs w:val="44"/>
          <w:lang w:val="en-US" w:eastAsia="zh-CN" w:bidi="ar"/>
        </w:rPr>
      </w:pPr>
      <w:r>
        <w:rPr>
          <w:rFonts w:hint="eastAsia" w:ascii="Times New Roman" w:hAnsi="Times New Roman" w:eastAsia="方正小标宋简体" w:cs="Times New Roman"/>
          <w:b w:val="0"/>
          <w:bCs w:val="0"/>
          <w:i w:val="0"/>
          <w:iCs w:val="0"/>
          <w:caps w:val="0"/>
          <w:color w:val="auto"/>
          <w:spacing w:val="0"/>
          <w:kern w:val="0"/>
          <w:sz w:val="44"/>
          <w:szCs w:val="44"/>
          <w:lang w:val="en-US" w:eastAsia="zh-CN" w:bidi="ar"/>
        </w:rPr>
        <w:t>成南达万高铁沿线经济走廊建设</w:t>
      </w:r>
    </w:p>
    <w:p>
      <w:pPr>
        <w:keepNext w:val="0"/>
        <w:keepLines w:val="0"/>
        <w:pageBreakBefore w:val="0"/>
        <w:widowControl w:val="0"/>
        <w:kinsoku/>
        <w:wordWrap/>
        <w:overflowPunct/>
        <w:topLinePunct w:val="0"/>
        <w:autoSpaceDE/>
        <w:autoSpaceDN/>
        <w:bidi w:val="0"/>
        <w:adjustRightInd/>
        <w:snapToGrid/>
        <w:spacing w:beforeAutospacing="0" w:afterAutospacing="0" w:line="660" w:lineRule="exact"/>
        <w:ind w:left="0" w:leftChars="0" w:right="0" w:rightChars="0"/>
        <w:jc w:val="center"/>
        <w:textAlignment w:val="auto"/>
        <w:rPr>
          <w:rFonts w:hint="default" w:ascii="Times New Roman" w:hAnsi="Times New Roman" w:eastAsia="方正小标宋简体" w:cs="Times New Roman"/>
          <w:b w:val="0"/>
          <w:bCs w:val="0"/>
          <w:i w:val="0"/>
          <w:iCs w:val="0"/>
          <w:caps w:val="0"/>
          <w:color w:val="auto"/>
          <w:spacing w:val="0"/>
          <w:kern w:val="0"/>
          <w:sz w:val="44"/>
          <w:szCs w:val="44"/>
          <w:lang w:val="en-US" w:eastAsia="zh-CN" w:bidi="ar"/>
        </w:rPr>
      </w:pPr>
      <w:r>
        <w:rPr>
          <w:rFonts w:hint="eastAsia" w:ascii="Times New Roman" w:hAnsi="Times New Roman" w:eastAsia="方正小标宋简体" w:cs="Times New Roman"/>
          <w:b w:val="0"/>
          <w:bCs w:val="0"/>
          <w:i w:val="0"/>
          <w:iCs w:val="0"/>
          <w:caps w:val="0"/>
          <w:color w:val="auto"/>
          <w:spacing w:val="0"/>
          <w:kern w:val="0"/>
          <w:sz w:val="44"/>
          <w:szCs w:val="44"/>
          <w:lang w:val="en-US" w:eastAsia="zh-CN" w:bidi="ar"/>
        </w:rPr>
        <w:t>的实施路径研究</w:t>
      </w:r>
    </w:p>
    <w:p>
      <w:pPr>
        <w:rPr>
          <w:sz w:val="28"/>
          <w:szCs w:val="28"/>
        </w:rPr>
      </w:pPr>
      <w:r>
        <w:rPr>
          <w:rFonts w:hint="eastAsia"/>
          <w:b/>
          <w:bCs/>
          <w:sz w:val="28"/>
          <w:szCs w:val="28"/>
        </w:rPr>
        <w:t xml:space="preserve">  </w:t>
      </w:r>
    </w:p>
    <w:p>
      <w:pPr>
        <w:keepNext w:val="0"/>
        <w:keepLines w:val="0"/>
        <w:pageBreakBefore w:val="0"/>
        <w:widowControl w:val="0"/>
        <w:kinsoku/>
        <w:wordWrap/>
        <w:overflowPunct/>
        <w:topLinePunct w:val="0"/>
        <w:autoSpaceDE/>
        <w:autoSpaceDN/>
        <w:bidi w:val="0"/>
        <w:adjustRightInd/>
        <w:snapToGrid/>
        <w:spacing w:line="578" w:lineRule="exact"/>
        <w:ind w:firstLine="560"/>
        <w:textAlignment w:val="auto"/>
        <w:rPr>
          <w:rFonts w:hint="eastAsia" w:ascii="方正楷体简体" w:hAnsi="方正楷体简体" w:eastAsia="方正楷体简体" w:cs="方正楷体简体"/>
          <w:kern w:val="2"/>
          <w:sz w:val="32"/>
          <w:szCs w:val="32"/>
          <w:lang w:val="en-US" w:eastAsia="zh-CN" w:bidi="ar"/>
        </w:rPr>
      </w:pPr>
      <w:r>
        <w:rPr>
          <w:rFonts w:hint="default" w:ascii="Times New Roman" w:hAnsi="Times New Roman" w:eastAsia="方正黑体简体" w:cs="Times New Roman"/>
          <w:kern w:val="2"/>
          <w:sz w:val="32"/>
          <w:szCs w:val="32"/>
          <w:lang w:val="en-US" w:eastAsia="zh-CN" w:bidi="ar"/>
        </w:rPr>
        <w:t>【专报要点】</w:t>
      </w:r>
      <w:r>
        <w:rPr>
          <w:rFonts w:hint="eastAsia" w:ascii="方正楷体简体" w:hAnsi="方正楷体简体" w:eastAsia="方正楷体简体" w:cs="方正楷体简体"/>
          <w:kern w:val="2"/>
          <w:sz w:val="32"/>
          <w:szCs w:val="32"/>
          <w:lang w:val="en-US" w:eastAsia="zh-CN" w:bidi="ar"/>
        </w:rPr>
        <w:t>为贯彻落实四川省第十二次党代会精神，加快建设成南达万高铁沿线经济走廊，以四川文理学院傅忠贤教授为组长的达州市社科规划“省第十二次党代会精神研究阐释”专项课题组，综合分析了成南达万高铁沿线经济基础、短板和机遇，提出了对策建议，有一定的参考价值。</w:t>
      </w:r>
    </w:p>
    <w:p>
      <w:pPr>
        <w:keepNext w:val="0"/>
        <w:keepLines w:val="0"/>
        <w:pageBreakBefore w:val="0"/>
        <w:widowControl w:val="0"/>
        <w:kinsoku/>
        <w:wordWrap/>
        <w:overflowPunct/>
        <w:topLinePunct w:val="0"/>
        <w:autoSpaceDE/>
        <w:autoSpaceDN/>
        <w:bidi w:val="0"/>
        <w:adjustRightInd/>
        <w:snapToGrid/>
        <w:spacing w:line="578" w:lineRule="exact"/>
        <w:ind w:firstLine="56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2022年5月四川省委第十二次党代会明确提出“打造成南达万沿线经济走廊”，此后，成南达万高铁沿线经济走廊建设研究就被提上重要日程。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一、成南达万高铁沿线经济走廊建设：现有基础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（一）成南达万高铁规划建设有序推进。</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2018年6月四川省委十一届三次全会将成南达万高铁摆在加快推进的突出位置。同年7月，省委省政府成功推动成南达万高铁纳入国家《推动长江经济带沿江高铁通道建设实施方案》。2019年3月成南达万高铁由国务院推动长江经济带发展领导小组办公室批准建设，2020年11月获得国家发改委批复。预计2025年将建成通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（二）成南达万高铁线路战略地位突出。</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成南达万高铁线路既是国家《中长期铁路网规划》“八纵八横”铁路网沿江通道的重要组成部分，也是四川省“四向八廊”战略性综合交通走廊的重要组成部分；既是推动成渝地区双城经济圈建设的重要支撑，也是南充-达州组团培育川东北省域经济副中心的重要载体。将极大优化提升四川省在全国铁路网中的格局,推动四川省由“内陆腹地”向“开放高地”跨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（三）成南达万高铁线路辐射带动作用明显。</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成南达万高铁线路连接成都、资阳、遂宁、南充、达州和重庆万州，新建正线长度</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432.386km </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，共设车站</w:t>
      </w:r>
      <w:r>
        <w:rPr>
          <w:rFonts w:hint="default" w:ascii="Times New Roman" w:hAnsi="Times New Roman" w:eastAsia="方正仿宋简体" w:cs="Times New Roman"/>
          <w:b w:val="0"/>
          <w:bCs w:val="0"/>
          <w:color w:val="000000" w:themeColor="text1"/>
          <w:sz w:val="32"/>
          <w:szCs w:val="32"/>
          <w14:textFill>
            <w14:solidFill>
              <w14:schemeClr w14:val="tx1"/>
            </w14:solidFill>
          </w14:textFill>
        </w:rPr>
        <w:t>1</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3个，辐射区面积4.58万平方公里，辐射区总人口超过2300万人，辐射区经济规模超过8450亿元。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（四）成南达万高铁沿线发展前景广阔。</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成都都市圈将进一步增强辐射带动能力；资阳市借此将成为成都东进的桥头堡和门户；遂宁市借助该走廊有条件成为成渝经济发展主轴的“轴心”；南充市将借此加快培育川东北经济区省域经济副中心步伐；达州市借助该走廊将对建成四川东出北上综合交通大通道、国家“十四五”首批商贸服务型国家物流枢纽城市、川东北经济区省域经济副中心城市和万达开川渝统筹发展示范区国家战略核心承载城市提供有力支撑；万州区借此将更加强化长江黄金水道、成渝经济区东向出海主通道的地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（五）成南达万高铁沿线重大战略叠加带来的发展机遇巨大。</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国家新一轮西部大开发战略的深入实施、国家成渝地区双城经济圈发展战略和万达开川渝统筹发展示范区的纵深推进，国家“一带一路”和长江经济带发展战略的持续推行，四川省委批准南充—达州组团积极培育川东北省域经济副中心，四川省深入实施“一干多支、五区协同”，“四向拓展、全域开放”的战略部署，重庆市“一区两群”发展战略的全面推进，这些国家级、省级重大发展战略和发展规划的加持叠加，给南达万高铁沿线经济走廊带来重大发展机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（六）成南达万高铁沿线资源禀赋富集独特。</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阳市被誉为“蜀人原乡、三贤故里”，是陈毅元帅的故乡；遂宁市农产品资源丰富，是全国知名“白芷之乡”。南充市人文教育资源富集，拥有三国文化、将帅故里、阆中古城、嘉陵风光等知名旅游名片。达州市矿产资源得天独厚，享有“中国气都”之美誉，获批创建国内唯一的“国家天然气综合开发利用示范区”，具备培育形成“万亿级”产业集群的资源基础，卤水锂钾综合开发长产业链基础良好，玄武岩纤维、微玻纤等新材料资源禀赋独特，具备培育“千亿级”产业集群的资源支撑条件。万州区旅游资源特色鲜明，是长江上游最大的深水良港，拥有全国主要旅游线路—长江三峡旅游线路。</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二、成南达万高铁沿线经济走廊建设：短板瓶颈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（一）主导产业集中度较低、产业结构同构现象比较严重。</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工业主导产业主要分布在：以钢铁、机械、运输载具配件、小五金制造为代表的制造业，以油盐化工、天然气化工等为代表的化工产业，以丝麻棉为生产加工材料的服装服饰制造业，以电力热力燃气自来水的生产和供应为代表的公共物品制造业、特色农产品加工业；农业生产分布在粮食、油料、水果、蔬菜、食用菌、生猪、家禽、牛奶、中药材等领域；服务业以传统商业、饮食、酒店、交通运输、仓储等为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表一：成南达万高铁沿线各地级市产业规模情况</w:t>
      </w:r>
    </w:p>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524"/>
        <w:gridCol w:w="1560"/>
        <w:gridCol w:w="1404"/>
        <w:gridCol w:w="852"/>
        <w:gridCol w:w="1236"/>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78" w:type="dxa"/>
            <w:vMerge w:val="restart"/>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城市</w:t>
            </w:r>
          </w:p>
        </w:tc>
        <w:tc>
          <w:tcPr>
            <w:tcW w:w="1524" w:type="dxa"/>
            <w:vMerge w:val="restart"/>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第一产业产值</w:t>
            </w:r>
          </w:p>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（亿元）</w:t>
            </w:r>
          </w:p>
        </w:tc>
        <w:tc>
          <w:tcPr>
            <w:tcW w:w="1560" w:type="dxa"/>
            <w:vMerge w:val="restart"/>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第二产业产值</w:t>
            </w:r>
          </w:p>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（亿元）</w:t>
            </w:r>
          </w:p>
        </w:tc>
        <w:tc>
          <w:tcPr>
            <w:tcW w:w="1404" w:type="dxa"/>
            <w:vMerge w:val="restart"/>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第三产业产值（亿元）</w:t>
            </w:r>
          </w:p>
        </w:tc>
        <w:tc>
          <w:tcPr>
            <w:tcW w:w="2088" w:type="dxa"/>
            <w:gridSpan w:val="2"/>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规上工业企业</w:t>
            </w:r>
          </w:p>
        </w:tc>
        <w:tc>
          <w:tcPr>
            <w:tcW w:w="1068" w:type="dxa"/>
            <w:vMerge w:val="restart"/>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上市公司数（家）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878"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pPr>
          </w:p>
        </w:tc>
        <w:tc>
          <w:tcPr>
            <w:tcW w:w="152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pPr>
          </w:p>
        </w:tc>
        <w:tc>
          <w:tcPr>
            <w:tcW w:w="1560"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pPr>
          </w:p>
        </w:tc>
        <w:tc>
          <w:tcPr>
            <w:tcW w:w="1404"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pP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数量（家）</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营业收入（亿元）</w:t>
            </w:r>
          </w:p>
        </w:tc>
        <w:tc>
          <w:tcPr>
            <w:tcW w:w="1068" w:type="dxa"/>
            <w:vMerge w:val="continue"/>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资阳市</w:t>
            </w:r>
          </w:p>
        </w:tc>
        <w:tc>
          <w:tcPr>
            <w:tcW w:w="152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173.3</w:t>
            </w:r>
          </w:p>
        </w:tc>
        <w:tc>
          <w:tcPr>
            <w:tcW w:w="156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262.5</w:t>
            </w:r>
          </w:p>
        </w:tc>
        <w:tc>
          <w:tcPr>
            <w:tcW w:w="140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454.7</w:t>
            </w: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258</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缺数据</w:t>
            </w:r>
          </w:p>
        </w:tc>
        <w:tc>
          <w:tcPr>
            <w:tcW w:w="106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遂宁市</w:t>
            </w:r>
          </w:p>
        </w:tc>
        <w:tc>
          <w:tcPr>
            <w:tcW w:w="152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280.8</w:t>
            </w:r>
          </w:p>
        </w:tc>
        <w:tc>
          <w:tcPr>
            <w:tcW w:w="156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704.1</w:t>
            </w:r>
          </w:p>
        </w:tc>
        <w:tc>
          <w:tcPr>
            <w:tcW w:w="140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595</w:t>
            </w: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622</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1472.7</w:t>
            </w:r>
          </w:p>
        </w:tc>
        <w:tc>
          <w:tcPr>
            <w:tcW w:w="106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南充市</w:t>
            </w:r>
          </w:p>
        </w:tc>
        <w:tc>
          <w:tcPr>
            <w:tcW w:w="152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474.8</w:t>
            </w:r>
          </w:p>
        </w:tc>
        <w:tc>
          <w:tcPr>
            <w:tcW w:w="156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1019.4</w:t>
            </w:r>
          </w:p>
        </w:tc>
        <w:tc>
          <w:tcPr>
            <w:tcW w:w="140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1107.7</w:t>
            </w: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794</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3245.9</w:t>
            </w:r>
          </w:p>
        </w:tc>
        <w:tc>
          <w:tcPr>
            <w:tcW w:w="106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达州市</w:t>
            </w:r>
          </w:p>
        </w:tc>
        <w:tc>
          <w:tcPr>
            <w:tcW w:w="152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411.6</w:t>
            </w:r>
          </w:p>
        </w:tc>
        <w:tc>
          <w:tcPr>
            <w:tcW w:w="156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835</w:t>
            </w:r>
          </w:p>
        </w:tc>
        <w:tc>
          <w:tcPr>
            <w:tcW w:w="140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1105.1</w:t>
            </w: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1018</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1913.2</w:t>
            </w:r>
          </w:p>
        </w:tc>
        <w:tc>
          <w:tcPr>
            <w:tcW w:w="106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万州区</w:t>
            </w:r>
          </w:p>
        </w:tc>
        <w:tc>
          <w:tcPr>
            <w:tcW w:w="152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108.9</w:t>
            </w:r>
          </w:p>
        </w:tc>
        <w:tc>
          <w:tcPr>
            <w:tcW w:w="156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310.9</w:t>
            </w:r>
          </w:p>
        </w:tc>
        <w:tc>
          <w:tcPr>
            <w:tcW w:w="1404"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668.1</w:t>
            </w:r>
          </w:p>
        </w:tc>
        <w:tc>
          <w:tcPr>
            <w:tcW w:w="8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162</w:t>
            </w:r>
          </w:p>
        </w:tc>
        <w:tc>
          <w:tcPr>
            <w:tcW w:w="123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381.4</w:t>
            </w:r>
          </w:p>
        </w:tc>
        <w:tc>
          <w:tcPr>
            <w:tcW w:w="106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w:t>
            </w:r>
          </w:p>
        </w:tc>
      </w:tr>
    </w:tbl>
    <w:p>
      <w:pPr>
        <w:keepNext w:val="0"/>
        <w:keepLines w:val="0"/>
        <w:pageBreakBefore w:val="0"/>
        <w:widowControl w:val="0"/>
        <w:kinsoku/>
        <w:wordWrap/>
        <w:overflowPunct/>
        <w:topLinePunct w:val="0"/>
        <w:autoSpaceDE/>
        <w:autoSpaceDN/>
        <w:bidi w:val="0"/>
        <w:adjustRightInd/>
        <w:snapToGrid/>
        <w:spacing w:line="578" w:lineRule="exact"/>
        <w:ind w:firstLine="480" w:firstLineChars="200"/>
        <w:textAlignment w:val="auto"/>
        <w:rPr>
          <w:sz w:val="24"/>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资料来源：依据各市2021年国民经济和社会发展统计公报整理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表二：成南达万高铁沿线各地级市2021年主导产业分布情况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920"/>
        <w:gridCol w:w="2928"/>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城  市</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第一产业主导产业分布</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第二产业主导产业分布</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第三产业主导产业分布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资阳市</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ascii="瀹嬩綋" w:hAnsi="瀹嬩綋" w:eastAsia="瀹嬩綋" w:cs="瀹嬩綋"/>
                <w:color w:val="000000"/>
                <w:sz w:val="19"/>
                <w:szCs w:val="19"/>
                <w:shd w:val="clear" w:color="auto" w:fill="FFFFFF"/>
              </w:rPr>
              <w:t>粮油、蔬菜、生猪、柑橘、柠檬、蚕桑</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汽车、医药、家具、通用设备制造、农副产品加工、电力热力自来水生产供应</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商场、餐饮、娱乐、旅馆、仓储物流、医疗康养、乡村旅游、交通运输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遂宁市</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粮食、油料、糖料、蔬菜、瓜果、肉类、家禽</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锂电及新材料、电子信息、机械制造、油气盐化工、食品饮料、电力热力自来水生产供应</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购物、休闲娱乐、餐饮、商务、仓储物流、教育医疗、乡村旅游、交通运输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南充市</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粮油、生猪、蔬菜、食用菌、蚕桑、柑橘、水果、家禽、中药材</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汽车汽配、油气化工、丝纺服装、装备制造、电力热力自来水生产供应、生物医药、食品</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批发零售、餐馆饮食、仓储物流、电子商务、医疗教育、旅游、交通运输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达州市</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粮油、水果、蔬菜、生猪、家禽、牛奶、中药材、水产、苎麻、油橄榄、黄花</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化学原料与化学制品制造、农副食品加工、非金属矿物制品、黑色金属冶炼和压延加工、油气开采加工、煤炭开采</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商场购物、餐饮娱乐、乡村旅游、仓储物流、教育医疗、电子商务、交通运输、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万州区</w:t>
            </w:r>
          </w:p>
        </w:tc>
        <w:tc>
          <w:tcPr>
            <w:tcW w:w="192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粮食、蔬菜、水果、生猪、家禽、水产</w:t>
            </w:r>
          </w:p>
        </w:tc>
        <w:tc>
          <w:tcPr>
            <w:tcW w:w="292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洗车、原盐、纯碱、棉纱、水泥、灯具照明装置、金属切削机床、采矿、电力热力自来水生产供应</w:t>
            </w:r>
          </w:p>
        </w:tc>
        <w:tc>
          <w:tcPr>
            <w:tcW w:w="279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会展旅游、餐饮住宿、购物零售、交通运输、仓储物流、康养医疗、教育咨询、</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资料来源：依据各市统计公报和政府网站资料整理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（二）经济体量较小、增速缓慢。</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高铁沿线各城市经济总量在全省市经济大盘中占比极低，对周边城市的影响带动作用有限，难以充分发挥成南达万高铁的辐射带动作用，且增长缓慢。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表三：成南达万高铁沿线各地级市2021年经济总量占比及增长情况</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1752"/>
        <w:gridCol w:w="2350"/>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城市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经济总量</w:t>
            </w:r>
          </w:p>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（亿元）</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占全省市经济总量比重（%）</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比上年经济增速（%）</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与全省市平均增速的差距（+-）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四川省</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53850.8</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100</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8.2</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重庆市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27894.02</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100</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8.3</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资阳市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890.5</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1.65</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8.1</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highlight w:val="red"/>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遂宁市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1519.87</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2.82</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8.2</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南充市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2601.98</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4.83</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7.8</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highlight w:val="red"/>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达州市</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2351.7</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4.37</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8.3</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万州区</w:t>
            </w:r>
          </w:p>
        </w:tc>
        <w:tc>
          <w:tcPr>
            <w:tcW w:w="1752"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1087.94</w:t>
            </w:r>
          </w:p>
        </w:tc>
        <w:tc>
          <w:tcPr>
            <w:tcW w:w="2350"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3.90</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8.4</w:t>
            </w:r>
          </w:p>
        </w:tc>
        <w:tc>
          <w:tcPr>
            <w:tcW w:w="1705"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资料来源：依据各市2021统计公报整理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（三）商贸物流规模较小、要素吸纳能力不足。</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金流、人流、物流、信息流是驱动地方经济发展的核心要素。选取按常住人口计算的引进域外资金反映资金流情况，用社会消费品零售总额和货物周转量反映物流情况，选取高校反映人流情况，用全年邮政电信业务营业收入反映信息流情况，结果表明这些指标处在较低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表四：2021年成南达万高铁沿线各地级市要素吸纳能力</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6"/>
        <w:gridCol w:w="1448"/>
        <w:gridCol w:w="1217"/>
        <w:gridCol w:w="1217"/>
        <w:gridCol w:w="1338"/>
        <w:gridCol w:w="109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城市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每万人年均社会消费品零售总额（亿元）</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每万人年进出口总额（亿元）</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每万人年货物周转量（亿吨公里）</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每百万人年拥有引进国外和国内域外资金量（亿元）</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每百万人拥有高校数量（所）</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每万人年邮政电信业务收入（亿元）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四川省</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2.88</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1.14</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0.35</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146</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1.6</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重庆市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4.34</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2.49</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1.19</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缺资料</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2.15</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资阳市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1.93</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0.12</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0.14</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1.58</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1.3</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遂宁市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1.95</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0.21</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0.21</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4.9</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0.71</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南充市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2.6</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0.09</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0.23</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7.09</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1.43</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达州市</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2.38</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0.09</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0.22</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71</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0.74</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万州区</w:t>
            </w:r>
          </w:p>
        </w:tc>
        <w:tc>
          <w:tcPr>
            <w:tcW w:w="144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2.82</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0.25</w:t>
            </w:r>
          </w:p>
        </w:tc>
        <w:tc>
          <w:tcPr>
            <w:tcW w:w="1217"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3.14</w:t>
            </w:r>
          </w:p>
        </w:tc>
        <w:tc>
          <w:tcPr>
            <w:tcW w:w="133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7.14</w:t>
            </w:r>
          </w:p>
        </w:tc>
        <w:tc>
          <w:tcPr>
            <w:tcW w:w="109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2.55</w:t>
            </w:r>
          </w:p>
        </w:tc>
        <w:tc>
          <w:tcPr>
            <w:tcW w:w="1218" w:type="dxa"/>
          </w:tcPr>
          <w:p>
            <w:pPr>
              <w:keepNext w:val="0"/>
              <w:keepLines w:val="0"/>
              <w:pageBreakBefore w:val="0"/>
              <w:widowControl w:val="0"/>
              <w:kinsoku/>
              <w:wordWrap/>
              <w:overflowPunct/>
              <w:topLinePunct w:val="0"/>
              <w:autoSpaceDE/>
              <w:autoSpaceDN/>
              <w:bidi w:val="0"/>
              <w:adjustRightInd/>
              <w:snapToGrid/>
              <w:spacing w:line="578" w:lineRule="exact"/>
              <w:textAlignment w:val="auto"/>
              <w:rPr>
                <w:szCs w:val="21"/>
              </w:rPr>
            </w:pPr>
            <w:r>
              <w:rPr>
                <w:rFonts w:hint="eastAsia"/>
                <w:szCs w:val="21"/>
              </w:rPr>
              <w:t>0.09</w:t>
            </w:r>
          </w:p>
        </w:tc>
      </w:tr>
    </w:tbl>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资料来源：依据2021年统计公报、政府网站、政府工作报告数据整理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（四）基础设施建设欠账较多、互联互通水平不高。</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沿线城市跨越川中、川东北、渝东北等多个区域，由于行政区划、经济区域属性不同，各地基础设施建设中几乎长期处在各自为政的状态，尤其是川东北区域远离中心城市，在经济建设布局规划中长期被边沿化，地处深丘山区，基础设施建设成本高昂，从而导致基础设施建设包袱重、欠账深、水平底、基础差，各地互联互通处在较低层级和水平。</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（五）城市统筹发展力度有限、沟通合作机制亟待深化。</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一是缺乏统筹协调发展的顶层设计和宏观规划；二是缺乏统筹协调发展的政策配合和工作抓手；三是没有建立统筹发展的沟通交流机制。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黑体简体" w:hAnsi="方正黑体简体" w:eastAsia="方正黑体简体" w:cs="方正黑体简体"/>
          <w:b w:val="0"/>
          <w:bCs w:val="0"/>
          <w:color w:val="000000" w:themeColor="text1"/>
          <w:sz w:val="32"/>
          <w:szCs w:val="32"/>
          <w14:textFill>
            <w14:solidFill>
              <w14:schemeClr w14:val="tx1"/>
            </w14:solidFill>
          </w14:textFill>
        </w:rPr>
        <w:t>三、成南达万高铁沿线经济走廊建设：路径探索</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（一）以着力推进思想引领为魂：解放思想、与时俱进，增强成南达万高铁沿线经济走廊建设的使命感、责任感。</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一是切实抓好理论宣传。。二是着力搞好理论研究。充分调动“智囊”、“外脑”的积极性，充分发挥专家学者、专业人才的重大作用。三是深入开展思想大讨论。化解分歧、增强共识，消除阻力、凝聚智慧。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（二）以加快推进统筹规划为要：统筹发展规划和顶层设计，为成南达万高铁沿线经济走廊建设制定科学、合理的发展蓝图和严谨、务实的实施方案。</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要把制定《成南达万高铁沿线经济走廊建设总体战略规划》列为重大紧迫任务。二是要把《成南达万高铁沿线经济走廊建设总体战略规划》与各地其他发展规划或专项发展规划特别是要与《十四五规划》和十四五期间产业发展等专项规划衔接。三是要确保《成南达万高铁沿线经济走廊建设总体战略规划》具有权威性和可操作性。</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（三）以增强产业支撑能力为重：着力构建现代产业体系，培育壮大区域主导产业，提升产业核心竞争力，为成南达万高铁沿线经济走廊建设筑牢根基。</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把经济走廊整体产业发展规划与各地十四五规划和各地相关专项规划链接打通，有效避免各种产业发展规划互不关联或互相冲突；二是坚持特色发展、错位发展思路，做强做大优势特色产业，增强产业核心竞争力，根本上破除产业趋同困境；三是遵循产业成长演变规律，加快构建现代产业体系，坚持创新驱动战略，改造提升传统产业，加快发展战略性新兴产业。四是充分利用高铁在空间和时间维度上的压缩效应，瞄准“长三角”，积极承接东部地区的产业转移，着力优化经济走廊生产力布局，促进产业结构转型升级。五是大力发展高铁服务业，依托高铁站点，优化产业园区布局，把高铁沿线城市建成重要的商贸物流枢纽，集聚文化旅游、商贸物流、总部经济、创意策划、休闲娱乐、电子商务等服务业态，把高铁站点从“过境地”转变成“落脚地”和“目的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（四）以提升基础设施建设水平为先：大力推进以交通运输、水利工程、能源工程等为代表的传统基础设施建设和以5G、人工智能、大数据、云计算等为代表的新型基础设施建设，为现代经济体系提供坚强支撑。</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着力构建立体综合的基础设施体系。既要尽快消除传统基础设施建设领域与省域中心城市和发达地区相比存在的巨大差距，甩掉包袱，还清旧账，迎头赶上，又要在新型基础设施建设领域与其他地区同步发展，不欠新账。二是以基础设施建设为切入点和突破口，推动高铁沿线地区城镇化进程，增强高铁沿线城市的综合承载能力。三是以基础设施建设为着力点，提升互联互通水平，有效降低高铁沿线地区的综合交通运输成本、商贸物流成本和人居生活成本，将高铁沿线地区尽快建成“高品质生活宜居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（五）以增强要素吸纳能力为本：促进土地、人才、资金、技术、信息、管理、政策等生产全要素集聚、交换、重组、裂变，构建便捷的生活圈、繁荣的商业圈、完善的服务圈</w:t>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endnoteReference w:id="0"/>
      </w: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，形成成南达万高铁沿线经济走廊建设的核心推动力。</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培育壮大支柱产业、龙头企业。实践证明，发展潜力巨大的产业是吸纳生产要素的金字招牌。二是坚定不移实施创新驱动战略，增强市场主体对创新要素的吸纳能力。三是持续推进民生社会事业建设，切实增强各地人民群众的幸福感、获得感。四是深入推进改革开放，把高铁沿线各地由“封闭的西部内陆区域”真正转变成“改革开放高地”，涵养生产要素集聚的源头活水。五是着力加强政府自身建设，构建服务型政府，强力整治营商环境，为提升生产要素的吸纳能力提供优良和谐的社会条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r>
        <w:rPr>
          <w:rFonts w:hint="eastAsia" w:ascii="方正楷体简体" w:hAnsi="方正楷体简体" w:eastAsia="方正楷体简体" w:cs="方正楷体简体"/>
          <w:b w:val="0"/>
          <w:bCs w:val="0"/>
          <w:color w:val="000000" w:themeColor="text1"/>
          <w:sz w:val="32"/>
          <w:szCs w:val="32"/>
          <w14:textFill>
            <w14:solidFill>
              <w14:schemeClr w14:val="tx1"/>
            </w14:solidFill>
          </w14:textFill>
        </w:rPr>
        <w:t>（六）以建立健全沟通协调机制为急：实现经济区、行政区适度分离，构建沿线各地主动参与、积极协商、常态化合作、互利共赢的沟通协调机制，将合作意愿转化为合作行动，推动成南达万高铁沿线经济走廊建设尽快落实落地。</w:t>
      </w:r>
      <w:r>
        <w:rPr>
          <w:rFonts w:hint="eastAsia" w:ascii="Times New Roman" w:hAnsi="Times New Roman" w:eastAsia="方正仿宋简体" w:cs="Times New Roman"/>
          <w:b w:val="0"/>
          <w:bCs w:val="0"/>
          <w:color w:val="000000" w:themeColor="text1"/>
          <w:sz w:val="32"/>
          <w:szCs w:val="32"/>
          <w14:textFill>
            <w14:solidFill>
              <w14:schemeClr w14:val="tx1"/>
            </w14:solidFill>
          </w14:textFill>
        </w:rPr>
        <w:t>一是迅速建立由走廊沿线各地主要领导组成的领导小组，担负起经济走廊建设的谋划、组织、指挥、督查等职责。二是成立推进经济走廊建设的政策协调机构，接受领导小组的领导，负责执行和实施领导小组的决策，制定配套、系统、完善的支持政策体系。三是积极引导走廊沿线各地在协商一致、合作共赢的基础上签订人才流动、产业发展、城镇建设、综合交通、生态环保、开放合作等方面的双边或多边协议，推动经济走廊建设相关事项尽快列入议题、提上日程。四是及时（定期或不定期）举办与经济走廊建设相关内容衔接的合作会议，协调解决经济走廊建设进程中的疑难问题。</w:t>
      </w: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pStyle w:val="2"/>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ascii="Times New Roman" w:hAnsi="Times New Roman" w:eastAsia="方正仿宋简体" w:cs="Times New Roman"/>
          <w:b w:val="0"/>
          <w:bCs w:val="0"/>
          <w:color w:val="000000" w:themeColor="text1"/>
          <w:sz w:val="32"/>
          <w:szCs w:val="32"/>
          <w14:textFill>
            <w14:solidFill>
              <w14:schemeClr w14:val="tx1"/>
            </w14:solidFill>
          </w14:textFill>
        </w:rPr>
      </w:pPr>
    </w:p>
    <w:p>
      <w:pPr>
        <w:rPr>
          <w:rFonts w:hint="eastAsia"/>
        </w:rPr>
      </w:pPr>
    </w:p>
    <w:p>
      <w:pPr>
        <w:pStyle w:val="10"/>
        <w:spacing w:before="0" w:beforeAutospacing="0" w:after="0" w:afterAutospacing="0" w:line="40" w:lineRule="exact"/>
        <w:ind w:firstLine="480" w:firstLineChars="200"/>
        <w:rPr>
          <w:rFonts w:hint="default" w:ascii="Times New Roman" w:hAnsi="Times New Roman" w:cs="Times New Roman"/>
          <w:color w:val="000000"/>
        </w:rPr>
      </w:pPr>
    </w:p>
    <w:p>
      <w:pPr>
        <w:pStyle w:val="10"/>
        <w:spacing w:before="0" w:beforeAutospacing="0" w:after="0" w:afterAutospacing="0" w:line="500" w:lineRule="exact"/>
        <w:ind w:left="769" w:leftChars="100" w:right="210" w:rightChars="100" w:hanging="559" w:hangingChars="233"/>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36195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85pt;height:0pt;width:442.2pt;z-index:251660288;mso-width-relative:page;mso-height-relative:page;" filled="f" stroked="t" coordsize="21600,21600" o:gfxdata="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IUCunUAAAABAEAAA8AAAAAAAAAAQAgAAAAIgAAAGRycy9kb3ducmV2LnhtbFBL&#10;AQIUABQAAAAIAIdO4kABsxt6+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报：市委书记、副书记、常委，市人大主任、副主任，市政府市长、副市长，市政协主席、副主席。</w:t>
      </w:r>
    </w:p>
    <w:p>
      <w:pPr>
        <w:pStyle w:val="10"/>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送：市委办公室，市人大办公室，市政府办公室，市政协办公室，市委宣传部，市委政研室，市人大研究室，市政府研究室，市政协研究室及有关部门领导。</w:t>
      </w:r>
    </w:p>
    <w:p>
      <w:pPr>
        <w:pStyle w:val="10"/>
        <w:spacing w:before="0" w:beforeAutospacing="0" w:after="0" w:afterAutospacing="0" w:line="500" w:lineRule="exact"/>
        <w:ind w:left="770" w:leftChars="100" w:right="210" w:rightChars="100" w:hanging="560" w:hangingChars="200"/>
        <w:jc w:val="both"/>
        <w:rPr>
          <w:rFonts w:hint="default" w:ascii="Times New Roman" w:hAnsi="Times New Roman" w:eastAsia="方正仿宋简体" w:cs="Times New Roman"/>
          <w:color w:val="000000"/>
          <w:sz w:val="28"/>
          <w:szCs w:val="28"/>
        </w:rPr>
      </w:pPr>
      <w:r>
        <w:rPr>
          <w:rFonts w:hint="default" w:ascii="Times New Roman" w:hAnsi="Times New Roman" w:eastAsia="方正仿宋简体" w:cs="Times New Roman"/>
          <w:color w:val="000000"/>
          <w:sz w:val="28"/>
          <w:szCs w:val="28"/>
        </w:rPr>
        <w:t>发：县（市、区）社科联，市级社科学会（协会、研究会）。</w:t>
      </w:r>
    </w:p>
    <w:p>
      <w:pPr>
        <w:spacing w:line="500" w:lineRule="exact"/>
        <w:ind w:firstLine="210" w:firstLineChars="100"/>
        <w:rPr>
          <w:rFonts w:hint="eastAsia" w:ascii="Times New Roman" w:hAnsi="Times New Roman" w:eastAsia="方正仿宋简体"/>
        </w:rPr>
      </w:pPr>
      <w:r>
        <w:rPr>
          <w:rFonts w:hint="default" w:ascii="Times New Roman" w:hAnsi="Times New Roman" w:eastAsia="方正仿宋简体" w:cs="Times New Roman"/>
          <w:color w:val="00000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32385</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55pt;height:0pt;width:442.2pt;z-index:251661312;mso-width-relative:page;mso-height-relative:page;" filled="f" stroked="t" coordsize="21600,21600" o:gfxdata="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JlAbjUAAAABAEAAA8AAAAAAAAAAQAgAAAAIgAAAGRycy9kb3ducmV2LnhtbFBL&#10;AQIUABQAAAAIAIdO4kCjdxtx+gEAAPMDAAAOAAAAAAAAAAEAIAAAACMBAABkcnMvZTJvRG9jLnht&#10;bFBLBQYAAAAABgAGAFkBAACPBQAAAAA=&#10;">
                <v:fill on="f" focussize="0,0"/>
                <v:stroke weight="1pt" color="#000000" joinstyle="round"/>
                <v:imagedata o:title=""/>
                <o:lock v:ext="edit" aspectratio="f"/>
              </v:line>
            </w:pict>
          </mc:Fallback>
        </mc:AlternateContent>
      </w:r>
      <w:r>
        <w:rPr>
          <w:rFonts w:hint="default" w:ascii="Times New Roman" w:hAnsi="Times New Roman" w:eastAsia="方正仿宋简体" w:cs="Times New Roman"/>
          <w:color w:val="000000"/>
          <w:sz w:val="28"/>
          <w:szCs w:val="28"/>
        </w:rPr>
        <w:t>如有领导批示或需调阅成果原文稿，请直接与市社科联联系，我们即时送达。电话：2536629、2536139，联系人，邓良智。</w:t>
      </w: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endnote>
  <w:endnote w:type="continuationSeparator" w:id="3">
    <w:p/>
  </w:endnote>
  <w:endnote w:id="0">
    <w:p>
      <w:pPr>
        <w:pStyle w:val="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瀹嬩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footnotePr>
    <w:footnote w:id="0"/>
    <w:footnote w:id="1"/>
  </w:footnotePr>
  <w:endnotePr>
    <w:endnote w:id="2"/>
    <w:endnote w:id="3"/>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wN2Q4M2EzMWRjYTdhNWRmMDFiMjk4NmVlMmNkZjQifQ=="/>
  </w:docVars>
  <w:rsids>
    <w:rsidRoot w:val="59791A37"/>
    <w:rsid w:val="00022557"/>
    <w:rsid w:val="00156457"/>
    <w:rsid w:val="00166475"/>
    <w:rsid w:val="003C36B1"/>
    <w:rsid w:val="00562145"/>
    <w:rsid w:val="005A0ECE"/>
    <w:rsid w:val="00661327"/>
    <w:rsid w:val="0074322E"/>
    <w:rsid w:val="007D0525"/>
    <w:rsid w:val="0087727A"/>
    <w:rsid w:val="008E7A2B"/>
    <w:rsid w:val="00941BF2"/>
    <w:rsid w:val="009E1EE6"/>
    <w:rsid w:val="00CB75E7"/>
    <w:rsid w:val="00CB7BD0"/>
    <w:rsid w:val="00E52EF1"/>
    <w:rsid w:val="00EF2F8E"/>
    <w:rsid w:val="00F51839"/>
    <w:rsid w:val="00F640F0"/>
    <w:rsid w:val="00F950B1"/>
    <w:rsid w:val="00FF25F5"/>
    <w:rsid w:val="015B7FAD"/>
    <w:rsid w:val="051D57E7"/>
    <w:rsid w:val="05C21607"/>
    <w:rsid w:val="05FF0823"/>
    <w:rsid w:val="06597431"/>
    <w:rsid w:val="07884033"/>
    <w:rsid w:val="085E1657"/>
    <w:rsid w:val="086E5183"/>
    <w:rsid w:val="0B94572A"/>
    <w:rsid w:val="0CC872A8"/>
    <w:rsid w:val="0CEB1888"/>
    <w:rsid w:val="0D4A1729"/>
    <w:rsid w:val="0D9C676A"/>
    <w:rsid w:val="10504A6D"/>
    <w:rsid w:val="11F850E1"/>
    <w:rsid w:val="179847D9"/>
    <w:rsid w:val="17A032FB"/>
    <w:rsid w:val="17BA6FD6"/>
    <w:rsid w:val="187E645B"/>
    <w:rsid w:val="1AA03612"/>
    <w:rsid w:val="1B1A316C"/>
    <w:rsid w:val="1D035877"/>
    <w:rsid w:val="20287EE9"/>
    <w:rsid w:val="21025026"/>
    <w:rsid w:val="219A7646"/>
    <w:rsid w:val="22275DBB"/>
    <w:rsid w:val="24DC16EA"/>
    <w:rsid w:val="2577776C"/>
    <w:rsid w:val="27B34984"/>
    <w:rsid w:val="2F6F0224"/>
    <w:rsid w:val="314D409C"/>
    <w:rsid w:val="350D601C"/>
    <w:rsid w:val="3AE35129"/>
    <w:rsid w:val="3B434A07"/>
    <w:rsid w:val="3C802506"/>
    <w:rsid w:val="3CFE2BBD"/>
    <w:rsid w:val="410D042B"/>
    <w:rsid w:val="41365218"/>
    <w:rsid w:val="43C11B76"/>
    <w:rsid w:val="45D10977"/>
    <w:rsid w:val="46140D2F"/>
    <w:rsid w:val="48F97C63"/>
    <w:rsid w:val="4B9F36FF"/>
    <w:rsid w:val="4C8F5111"/>
    <w:rsid w:val="4D554EA0"/>
    <w:rsid w:val="4D8B6EF6"/>
    <w:rsid w:val="4DA70238"/>
    <w:rsid w:val="50B23FDA"/>
    <w:rsid w:val="534A3B3F"/>
    <w:rsid w:val="54433A73"/>
    <w:rsid w:val="5491235C"/>
    <w:rsid w:val="55026ABE"/>
    <w:rsid w:val="562278A9"/>
    <w:rsid w:val="57740010"/>
    <w:rsid w:val="58F410B6"/>
    <w:rsid w:val="59791A37"/>
    <w:rsid w:val="5B880DA9"/>
    <w:rsid w:val="5F090D52"/>
    <w:rsid w:val="5F551347"/>
    <w:rsid w:val="61C2528C"/>
    <w:rsid w:val="624861E3"/>
    <w:rsid w:val="63FF44D2"/>
    <w:rsid w:val="64C25BF4"/>
    <w:rsid w:val="6506781D"/>
    <w:rsid w:val="67C1666E"/>
    <w:rsid w:val="67E522AC"/>
    <w:rsid w:val="69484A5B"/>
    <w:rsid w:val="69855479"/>
    <w:rsid w:val="6A896042"/>
    <w:rsid w:val="6B5A3A61"/>
    <w:rsid w:val="6C7750A9"/>
    <w:rsid w:val="6DA36C3F"/>
    <w:rsid w:val="6DE76703"/>
    <w:rsid w:val="70CD7E32"/>
    <w:rsid w:val="711517D9"/>
    <w:rsid w:val="718B50A6"/>
    <w:rsid w:val="76055FF0"/>
    <w:rsid w:val="781772C8"/>
    <w:rsid w:val="78D17D7D"/>
    <w:rsid w:val="7A6C706C"/>
    <w:rsid w:val="7AC34054"/>
    <w:rsid w:val="7B2E1967"/>
    <w:rsid w:val="7BD25CAB"/>
    <w:rsid w:val="7CC14859"/>
    <w:rsid w:val="7E9A5E81"/>
    <w:rsid w:val="7E9C0E44"/>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1"/>
    <w:next w:val="1"/>
    <w:qFormat/>
    <w:uiPriority w:val="99"/>
    <w:pPr>
      <w:ind w:left="200" w:leftChars="200" w:hanging="200" w:hangingChars="200"/>
      <w:jc w:val="left"/>
    </w:pPr>
    <w:rPr>
      <w:rFonts w:ascii="Arial Unicode MS" w:hAnsi="Arial Unicode MS" w:eastAsia="Arial Unicode MS" w:cs="Arial Unicode MS"/>
      <w:color w:val="000000"/>
      <w:sz w:val="24"/>
      <w:szCs w:val="24"/>
      <w:lang w:val="zh-CN"/>
    </w:rPr>
  </w:style>
  <w:style w:type="paragraph" w:styleId="5">
    <w:name w:val="endnote text"/>
    <w:basedOn w:val="1"/>
    <w:qFormat/>
    <w:uiPriority w:val="0"/>
    <w:pPr>
      <w:snapToGrid w:val="0"/>
      <w:jc w:val="left"/>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endnote reference"/>
    <w:basedOn w:val="13"/>
    <w:qFormat/>
    <w:uiPriority w:val="0"/>
    <w:rPr>
      <w:vertAlign w:val="superscript"/>
    </w:rPr>
  </w:style>
  <w:style w:type="character" w:styleId="16">
    <w:name w:val="page number"/>
    <w:basedOn w:val="13"/>
    <w:qFormat/>
    <w:uiPriority w:val="99"/>
  </w:style>
  <w:style w:type="character" w:styleId="17">
    <w:name w:val="FollowedHyperlink"/>
    <w:basedOn w:val="13"/>
    <w:qFormat/>
    <w:uiPriority w:val="0"/>
    <w:rPr>
      <w:color w:val="333333"/>
      <w:u w:val="none"/>
    </w:rPr>
  </w:style>
  <w:style w:type="character" w:styleId="18">
    <w:name w:val="Hyperlink"/>
    <w:basedOn w:val="13"/>
    <w:qFormat/>
    <w:uiPriority w:val="0"/>
    <w:rPr>
      <w:color w:val="0000FF"/>
      <w:u w:val="single"/>
    </w:rPr>
  </w:style>
  <w:style w:type="character" w:styleId="19">
    <w:name w:val="footnote reference"/>
    <w:basedOn w:val="13"/>
    <w:qFormat/>
    <w:uiPriority w:val="0"/>
    <w:rPr>
      <w:vertAlign w:val="superscript"/>
    </w:rPr>
  </w:style>
  <w:style w:type="character" w:customStyle="1" w:styleId="20">
    <w:name w:val="批注框文本 Char"/>
    <w:basedOn w:val="13"/>
    <w:link w:val="6"/>
    <w:qFormat/>
    <w:uiPriority w:val="0"/>
    <w:rPr>
      <w:rFonts w:asciiTheme="minorHAnsi" w:hAnsiTheme="minorHAnsi" w:eastAsiaTheme="minorEastAsia" w:cstheme="minorBidi"/>
      <w:kern w:val="2"/>
      <w:sz w:val="18"/>
      <w:szCs w:val="18"/>
    </w:rPr>
  </w:style>
  <w:style w:type="paragraph" w:customStyle="1" w:styleId="2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QBPC</Company>
  <Pages>12</Pages>
  <Words>5261</Words>
  <Characters>5623</Characters>
  <Lines>4</Lines>
  <Paragraphs>10</Paragraphs>
  <TotalTime>1</TotalTime>
  <ScaleCrop>false</ScaleCrop>
  <LinksUpToDate>false</LinksUpToDate>
  <CharactersWithSpaces>5642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2022-07-20T07:10:00Z</dcterms:created>
  <dc:creator>xb21cn</dc:creator>
  <cp:lastModifiedBy>李青争</cp:lastModifiedBy>
  <cp:lastPrinted>2022-08-30T08:47:00Z</cp:lastPrinted>
  <dcterms:modified xsi:type="dcterms:W3CDTF">2022-12-21T09:15:50Z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CC21E4EECE2B4AAA8CDC9760C11107B8</vt:lpwstr>
  </property>
</Properties>
</file>